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 xml:space="preserve"> 7) и 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C30F7">
        <w:rPr>
          <w:rFonts w:ascii="Times New Roman" w:hAnsi="Times New Roman" w:cs="Times New Roman"/>
          <w:sz w:val="24"/>
          <w:szCs w:val="24"/>
        </w:rPr>
        <w:t>36/19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C30F7">
        <w:rPr>
          <w:rFonts w:ascii="Times New Roman" w:hAnsi="Times New Roman" w:cs="Times New Roman"/>
          <w:sz w:val="24"/>
          <w:szCs w:val="24"/>
        </w:rPr>
        <w:t>2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 w:rsidR="003D2A00">
        <w:rPr>
          <w:rFonts w:ascii="Times New Roman" w:hAnsi="Times New Roman" w:cs="Times New Roman"/>
          <w:sz w:val="24"/>
          <w:szCs w:val="24"/>
          <w:lang w:val="sr-Cyrl-CS"/>
        </w:rPr>
        <w:t xml:space="preserve">и 43)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EA4390">
        <w:rPr>
          <w:rFonts w:ascii="Times New Roman" w:hAnsi="Times New Roman" w:cs="Times New Roman"/>
          <w:sz w:val="24"/>
          <w:szCs w:val="24"/>
        </w:rPr>
        <w:t xml:space="preserve"> </w:t>
      </w:r>
      <w:r w:rsidR="006365A5">
        <w:rPr>
          <w:rFonts w:ascii="Times New Roman" w:hAnsi="Times New Roman" w:cs="Times New Roman"/>
          <w:sz w:val="24"/>
          <w:szCs w:val="24"/>
          <w:lang w:val="sr-Cyrl-CS"/>
        </w:rPr>
        <w:t>број: 500-1367-1/25 од 03.03.2025. године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A00"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3D2A00">
        <w:rPr>
          <w:rFonts w:ascii="Times New Roman" w:hAnsi="Times New Roman" w:cs="Times New Roman"/>
          <w:sz w:val="24"/>
          <w:szCs w:val="24"/>
          <w:lang w:val="sr-Cyrl-BA"/>
        </w:rPr>
        <w:t xml:space="preserve"> 28. марта 2025.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02FF2">
        <w:rPr>
          <w:rFonts w:ascii="Times New Roman" w:hAnsi="Times New Roman" w:cs="Times New Roman"/>
          <w:b/>
          <w:sz w:val="24"/>
          <w:szCs w:val="24"/>
        </w:rPr>
        <w:t>5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gramEnd"/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5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proofErr w:type="gramEnd"/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 xml:space="preserve"> 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B02FF2" w:rsidRDefault="001624ED" w:rsidP="00B02FF2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Pr="00B02FF2"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 w:rsidRPr="00B02FF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B02FF2"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B02FF2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Pr="00B02FF2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proofErr w:type="gramEnd"/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76C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мага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ц</w:t>
      </w:r>
      <w:r>
        <w:rPr>
          <w:rFonts w:ascii="Times New Roman" w:hAnsi="Times New Roman" w:cs="Times New Roman"/>
          <w:w w:val="105"/>
          <w:sz w:val="24"/>
          <w:szCs w:val="24"/>
        </w:rPr>
        <w:t>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мага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цински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јав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proofErr w:type="gramStart"/>
      <w:r w:rsidR="00B02FF2">
        <w:rPr>
          <w:rFonts w:ascii="Times New Roman" w:hAnsi="Times New Roman" w:cs="Times New Roman"/>
          <w:w w:val="105"/>
          <w:sz w:val="24"/>
          <w:szCs w:val="24"/>
        </w:rPr>
        <w:t>календа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рске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proofErr w:type="gramStart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lastRenderedPageBreak/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>X.</w:t>
      </w:r>
      <w:proofErr w:type="gramEnd"/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  <w:r w:rsidR="00EA4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01-022-58/25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EA4390">
        <w:trPr>
          <w:trHeight w:val="492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EA4390" w:rsidRDefault="001624ED" w:rsidP="001567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15673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  <w:r w:rsidR="00EA4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28. </w:t>
            </w:r>
            <w:r w:rsidR="00EA439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="00EA4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арт </w:t>
            </w:r>
            <w:r w:rsidR="00EA439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2025. године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B02FF2" w:rsidRDefault="004961C3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="003D2A0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Жељана Арсеновић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с.р.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1624ED" w:rsidRPr="00A906A4" w:rsidSect="00CB3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EBC" w:rsidRDefault="00A37EBC">
      <w:r>
        <w:separator/>
      </w:r>
    </w:p>
  </w:endnote>
  <w:endnote w:type="continuationSeparator" w:id="0">
    <w:p w:rsidR="00A37EBC" w:rsidRDefault="00A37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EBC" w:rsidRDefault="00A37EBC">
      <w:r>
        <w:separator/>
      </w:r>
    </w:p>
  </w:footnote>
  <w:footnote w:type="continuationSeparator" w:id="0">
    <w:p w:rsidR="00A37EBC" w:rsidRDefault="00A37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35AAD"/>
    <w:rsid w:val="00067EC1"/>
    <w:rsid w:val="000776D2"/>
    <w:rsid w:val="000827F6"/>
    <w:rsid w:val="000B1D04"/>
    <w:rsid w:val="000B251D"/>
    <w:rsid w:val="000F502A"/>
    <w:rsid w:val="00130C79"/>
    <w:rsid w:val="0015673B"/>
    <w:rsid w:val="001624ED"/>
    <w:rsid w:val="001C775F"/>
    <w:rsid w:val="001E56A3"/>
    <w:rsid w:val="001F1157"/>
    <w:rsid w:val="00204357"/>
    <w:rsid w:val="00215D98"/>
    <w:rsid w:val="00261D36"/>
    <w:rsid w:val="00272136"/>
    <w:rsid w:val="00272D1C"/>
    <w:rsid w:val="00285692"/>
    <w:rsid w:val="002B391A"/>
    <w:rsid w:val="002C1D8B"/>
    <w:rsid w:val="002C478E"/>
    <w:rsid w:val="002E32A9"/>
    <w:rsid w:val="002F6834"/>
    <w:rsid w:val="002F6CE3"/>
    <w:rsid w:val="00311358"/>
    <w:rsid w:val="00355210"/>
    <w:rsid w:val="0036496E"/>
    <w:rsid w:val="00376CA6"/>
    <w:rsid w:val="00383837"/>
    <w:rsid w:val="00387BB3"/>
    <w:rsid w:val="003919F8"/>
    <w:rsid w:val="00395D3A"/>
    <w:rsid w:val="003D2A00"/>
    <w:rsid w:val="003D3179"/>
    <w:rsid w:val="004001D3"/>
    <w:rsid w:val="00471840"/>
    <w:rsid w:val="00471A46"/>
    <w:rsid w:val="00477EEF"/>
    <w:rsid w:val="004961C3"/>
    <w:rsid w:val="004B6051"/>
    <w:rsid w:val="004C4429"/>
    <w:rsid w:val="004D7D31"/>
    <w:rsid w:val="005201E6"/>
    <w:rsid w:val="0052663E"/>
    <w:rsid w:val="005413E4"/>
    <w:rsid w:val="00563B21"/>
    <w:rsid w:val="005A5EAC"/>
    <w:rsid w:val="005C455D"/>
    <w:rsid w:val="005E3299"/>
    <w:rsid w:val="006365A5"/>
    <w:rsid w:val="00646388"/>
    <w:rsid w:val="0068353D"/>
    <w:rsid w:val="006A308B"/>
    <w:rsid w:val="006A7F42"/>
    <w:rsid w:val="006E4BA1"/>
    <w:rsid w:val="006F401D"/>
    <w:rsid w:val="007176DD"/>
    <w:rsid w:val="007333EA"/>
    <w:rsid w:val="0074128A"/>
    <w:rsid w:val="00754BAF"/>
    <w:rsid w:val="00762ABB"/>
    <w:rsid w:val="00797748"/>
    <w:rsid w:val="007A1882"/>
    <w:rsid w:val="007A3B0A"/>
    <w:rsid w:val="007A56D0"/>
    <w:rsid w:val="007B377A"/>
    <w:rsid w:val="00816916"/>
    <w:rsid w:val="00852909"/>
    <w:rsid w:val="00854346"/>
    <w:rsid w:val="008A47A8"/>
    <w:rsid w:val="0090219B"/>
    <w:rsid w:val="00910734"/>
    <w:rsid w:val="0091259D"/>
    <w:rsid w:val="00915813"/>
    <w:rsid w:val="009719D5"/>
    <w:rsid w:val="00993E2E"/>
    <w:rsid w:val="00996893"/>
    <w:rsid w:val="009A234B"/>
    <w:rsid w:val="009A51F4"/>
    <w:rsid w:val="009B2FF4"/>
    <w:rsid w:val="009C0D95"/>
    <w:rsid w:val="00A03F17"/>
    <w:rsid w:val="00A07D2E"/>
    <w:rsid w:val="00A3606B"/>
    <w:rsid w:val="00A37EBC"/>
    <w:rsid w:val="00AA67E5"/>
    <w:rsid w:val="00AC0442"/>
    <w:rsid w:val="00AD459B"/>
    <w:rsid w:val="00AF1817"/>
    <w:rsid w:val="00B02FF2"/>
    <w:rsid w:val="00B04209"/>
    <w:rsid w:val="00B27C61"/>
    <w:rsid w:val="00B83863"/>
    <w:rsid w:val="00BF7F09"/>
    <w:rsid w:val="00C36355"/>
    <w:rsid w:val="00C519A8"/>
    <w:rsid w:val="00C52825"/>
    <w:rsid w:val="00C61308"/>
    <w:rsid w:val="00C6487A"/>
    <w:rsid w:val="00C719BC"/>
    <w:rsid w:val="00C94589"/>
    <w:rsid w:val="00CB3A8F"/>
    <w:rsid w:val="00CC23F2"/>
    <w:rsid w:val="00CC30F7"/>
    <w:rsid w:val="00CE5A23"/>
    <w:rsid w:val="00CE6121"/>
    <w:rsid w:val="00D01CBB"/>
    <w:rsid w:val="00D02D0A"/>
    <w:rsid w:val="00D07810"/>
    <w:rsid w:val="00D16FE2"/>
    <w:rsid w:val="00D35E0D"/>
    <w:rsid w:val="00D445B6"/>
    <w:rsid w:val="00DB1566"/>
    <w:rsid w:val="00DC4221"/>
    <w:rsid w:val="00DC7FD7"/>
    <w:rsid w:val="00E00CCA"/>
    <w:rsid w:val="00E13A69"/>
    <w:rsid w:val="00E21AC6"/>
    <w:rsid w:val="00E647B9"/>
    <w:rsid w:val="00EA4390"/>
    <w:rsid w:val="00EA64C0"/>
    <w:rsid w:val="00EC1343"/>
    <w:rsid w:val="00EF4EFF"/>
    <w:rsid w:val="00F111DB"/>
    <w:rsid w:val="00F15622"/>
    <w:rsid w:val="00F515AF"/>
    <w:rsid w:val="00F67047"/>
    <w:rsid w:val="00F90022"/>
    <w:rsid w:val="00FA59C4"/>
    <w:rsid w:val="00FB1DB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A10854-F322-4F02-825E-BC301045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6</cp:revision>
  <cp:lastPrinted>2025-03-31T11:11:00Z</cp:lastPrinted>
  <dcterms:created xsi:type="dcterms:W3CDTF">2025-03-11T11:13:00Z</dcterms:created>
  <dcterms:modified xsi:type="dcterms:W3CDTF">2025-03-31T11:11:00Z</dcterms:modified>
</cp:coreProperties>
</file>