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A8" w:rsidRDefault="00197D20" w:rsidP="00EB3B89">
      <w:pPr>
        <w:jc w:val="center"/>
        <w:rPr>
          <w:lang w:val="sr-Latn-CS"/>
        </w:rPr>
      </w:pPr>
      <w:r w:rsidRPr="00197D20">
        <w:rPr>
          <w:noProof/>
          <w:sz w:val="28"/>
          <w:szCs w:val="28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2.1pt;margin-top:-12.45pt;width:86.4pt;height:22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" stroked="f">
            <v:textbox>
              <w:txbxContent>
                <w:p w:rsidR="003D6B17" w:rsidRPr="003D6B17" w:rsidRDefault="003D6B17">
                  <w:pPr>
                    <w:rPr>
                      <w:color w:val="BFBFBF" w:themeColor="background1" w:themeShade="BF"/>
                      <w:lang w:val="sr-Cyrl-BA"/>
                    </w:rPr>
                  </w:pPr>
                </w:p>
              </w:txbxContent>
            </v:textbox>
          </v:shape>
        </w:pict>
      </w:r>
      <w:r w:rsidRPr="00197D20">
        <w:rPr>
          <w:noProof/>
          <w:lang w:val="en-GB" w:eastAsia="en-GB"/>
        </w:rPr>
        <w:pict>
          <v:shape id="Okvir za tekst 2" o:spid="_x0000_s1029" type="#_x0000_t202" style="position:absolute;left:0;text-align:left;margin-left:351.6pt;margin-top:-29.4pt;width:102.6pt;height:28.2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" filled="f" stroked="f">
            <v:textbox>
              <w:txbxContent>
                <w:p w:rsidR="00401F24" w:rsidRPr="00175940" w:rsidRDefault="00401F24" w:rsidP="00700946">
                  <w:pPr>
                    <w:rPr>
                      <w:color w:val="7F7F7F"/>
                      <w:sz w:val="28"/>
                      <w:szCs w:val="28"/>
                      <w:lang w:val="sr-Cyrl-BA"/>
                    </w:rPr>
                  </w:pPr>
                </w:p>
              </w:txbxContent>
            </v:textbox>
          </v:shape>
        </w:pict>
      </w:r>
      <w:r w:rsidR="00542F93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2455545</wp:posOffset>
            </wp:positionH>
            <wp:positionV relativeFrom="paragraph">
              <wp:posOffset>-434975</wp:posOffset>
            </wp:positionV>
            <wp:extent cx="586105" cy="566420"/>
            <wp:effectExtent l="0" t="0" r="444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980" t="-2" r="14951" b="2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22F4">
        <w:rPr>
          <w:lang w:val="sr-Latn-CS"/>
        </w:rPr>
        <w:t xml:space="preserve">                                                            </w:t>
      </w:r>
    </w:p>
    <w:p w:rsidR="00662DA8" w:rsidRPr="00EB3B89" w:rsidRDefault="009129D1" w:rsidP="00D36649">
      <w:pPr>
        <w:jc w:val="center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АКЦИОНАРСКО</w:t>
      </w:r>
      <w:r w:rsidR="00662DA8" w:rsidRPr="00EB3B89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ДРУШТВО</w:t>
      </w:r>
    </w:p>
    <w:p w:rsidR="00662DA8" w:rsidRPr="00EB3B89" w:rsidRDefault="00662DA8" w:rsidP="00D36649">
      <w:pPr>
        <w:jc w:val="center"/>
        <w:rPr>
          <w:sz w:val="28"/>
          <w:szCs w:val="28"/>
          <w:lang w:val="sr-Latn-CS"/>
        </w:rPr>
      </w:pPr>
      <w:r w:rsidRPr="00EB3B89">
        <w:rPr>
          <w:sz w:val="28"/>
          <w:szCs w:val="28"/>
          <w:lang w:val="sr-Latn-CS"/>
        </w:rPr>
        <w:t>„</w:t>
      </w:r>
      <w:r w:rsidR="009129D1">
        <w:rPr>
          <w:sz w:val="28"/>
          <w:szCs w:val="28"/>
          <w:lang w:val="sr-Latn-CS"/>
        </w:rPr>
        <w:t>К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О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М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У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Н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А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Л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А</w:t>
      </w:r>
      <w:r w:rsidR="002A7E74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Ц</w:t>
      </w:r>
      <w:r w:rsidRPr="00EB3B89">
        <w:rPr>
          <w:sz w:val="28"/>
          <w:szCs w:val="28"/>
          <w:lang w:val="sr-Latn-CS"/>
        </w:rPr>
        <w:t>“</w:t>
      </w:r>
      <w:r w:rsidR="002A7E74">
        <w:rPr>
          <w:sz w:val="28"/>
          <w:szCs w:val="28"/>
          <w:lang w:val="sr-Latn-CS"/>
        </w:rPr>
        <w:t xml:space="preserve"> </w:t>
      </w:r>
      <w:r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Б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И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Ј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Е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Љ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И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Н</w:t>
      </w:r>
      <w:r w:rsidR="00EB3B89" w:rsidRPr="00EB3B89">
        <w:rPr>
          <w:sz w:val="28"/>
          <w:szCs w:val="28"/>
          <w:lang w:val="sr-Latn-CS"/>
        </w:rPr>
        <w:t xml:space="preserve"> </w:t>
      </w:r>
      <w:r w:rsidR="009129D1">
        <w:rPr>
          <w:sz w:val="28"/>
          <w:szCs w:val="28"/>
          <w:lang w:val="sr-Latn-CS"/>
        </w:rPr>
        <w:t>А</w:t>
      </w: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EB3B89" w:rsidRDefault="00EB3B89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Pr="002A7E74" w:rsidRDefault="00270388" w:rsidP="00270388">
      <w:pPr>
        <w:jc w:val="center"/>
        <w:rPr>
          <w:b/>
          <w:sz w:val="32"/>
          <w:szCs w:val="32"/>
          <w:lang w:val="sr-Latn-CS"/>
        </w:rPr>
      </w:pPr>
      <w:r w:rsidRPr="00270388">
        <w:rPr>
          <w:b/>
          <w:sz w:val="36"/>
          <w:szCs w:val="36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П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Л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А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Н</w:t>
      </w:r>
      <w:r w:rsidR="00662DA8" w:rsidRPr="002A7E74">
        <w:rPr>
          <w:b/>
          <w:sz w:val="32"/>
          <w:szCs w:val="32"/>
          <w:lang w:val="sr-Latn-CS"/>
        </w:rPr>
        <w:t xml:space="preserve"> </w:t>
      </w:r>
      <w:r w:rsidR="004C3389" w:rsidRPr="002A7E74">
        <w:rPr>
          <w:b/>
          <w:sz w:val="32"/>
          <w:szCs w:val="32"/>
          <w:lang w:val="sr-Latn-CS"/>
        </w:rPr>
        <w:t xml:space="preserve">   </w:t>
      </w:r>
      <w:r w:rsidR="009129D1">
        <w:rPr>
          <w:b/>
          <w:sz w:val="32"/>
          <w:szCs w:val="32"/>
          <w:lang w:val="sr-Latn-CS"/>
        </w:rPr>
        <w:t>П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О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С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Л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О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В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А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Њ</w:t>
      </w:r>
      <w:r w:rsidR="004C3389" w:rsidRPr="002A7E74">
        <w:rPr>
          <w:b/>
          <w:sz w:val="32"/>
          <w:szCs w:val="32"/>
          <w:lang w:val="sr-Latn-CS"/>
        </w:rPr>
        <w:t xml:space="preserve"> </w:t>
      </w:r>
      <w:r w:rsidR="009129D1">
        <w:rPr>
          <w:b/>
          <w:sz w:val="32"/>
          <w:szCs w:val="32"/>
          <w:lang w:val="sr-Latn-CS"/>
        </w:rPr>
        <w:t>А</w:t>
      </w:r>
    </w:p>
    <w:p w:rsidR="00662DA8" w:rsidRPr="00EB3B89" w:rsidRDefault="004C3389" w:rsidP="00270388">
      <w:pPr>
        <w:jc w:val="center"/>
        <w:rPr>
          <w:lang w:val="sr-Latn-CS"/>
        </w:rPr>
      </w:pPr>
      <w:r w:rsidRPr="00EB3B89">
        <w:rPr>
          <w:b/>
          <w:sz w:val="28"/>
          <w:szCs w:val="28"/>
          <w:lang w:val="sr-Latn-CS"/>
        </w:rPr>
        <w:t xml:space="preserve">  </w:t>
      </w:r>
      <w:r w:rsidR="009129D1">
        <w:rPr>
          <w:lang w:val="sr-Latn-CS"/>
        </w:rPr>
        <w:t>ЗА</w:t>
      </w:r>
      <w:r w:rsidR="00EE57D3">
        <w:rPr>
          <w:lang w:val="sr-Latn-CS"/>
        </w:rPr>
        <w:t xml:space="preserve">  202</w:t>
      </w:r>
      <w:r w:rsidR="00F4614A">
        <w:rPr>
          <w:lang w:val="sr-Latn-CS"/>
        </w:rPr>
        <w:t>5</w:t>
      </w:r>
      <w:r w:rsidR="00662DA8" w:rsidRPr="00EB3B89">
        <w:rPr>
          <w:lang w:val="sr-Latn-CS"/>
        </w:rPr>
        <w:t xml:space="preserve">. </w:t>
      </w:r>
      <w:r w:rsidR="009129D1">
        <w:rPr>
          <w:lang w:val="sr-Latn-CS"/>
        </w:rPr>
        <w:t>ГОДИНУ</w:t>
      </w:r>
    </w:p>
    <w:p w:rsidR="00662DA8" w:rsidRDefault="00662DA8" w:rsidP="00D36649">
      <w:pPr>
        <w:jc w:val="center"/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EB3B89" w:rsidRDefault="00EB3B89" w:rsidP="00662DA8">
      <w:pPr>
        <w:rPr>
          <w:b/>
          <w:lang w:val="sr-Latn-CS"/>
        </w:rPr>
      </w:pPr>
    </w:p>
    <w:p w:rsidR="00EB3B89" w:rsidRDefault="00EB3B89" w:rsidP="00662DA8">
      <w:pPr>
        <w:rPr>
          <w:b/>
          <w:lang w:val="sr-Latn-CS"/>
        </w:rPr>
      </w:pPr>
    </w:p>
    <w:p w:rsidR="00EB3B89" w:rsidRDefault="00EB3B89" w:rsidP="00662DA8">
      <w:pPr>
        <w:rPr>
          <w:b/>
          <w:lang w:val="sr-Latn-CS"/>
        </w:rPr>
      </w:pPr>
    </w:p>
    <w:p w:rsidR="00EB3B89" w:rsidRDefault="00EB3B89" w:rsidP="00662DA8">
      <w:pPr>
        <w:rPr>
          <w:b/>
          <w:lang w:val="sr-Latn-CS"/>
        </w:rPr>
      </w:pPr>
    </w:p>
    <w:p w:rsidR="00662DA8" w:rsidRDefault="00662DA8" w:rsidP="00662DA8">
      <w:pPr>
        <w:rPr>
          <w:b/>
          <w:lang w:val="sr-Latn-CS"/>
        </w:rPr>
      </w:pPr>
    </w:p>
    <w:p w:rsidR="00662DA8" w:rsidRPr="00EB3B89" w:rsidRDefault="00662DA8" w:rsidP="00662DA8">
      <w:pPr>
        <w:rPr>
          <w:lang w:val="sr-Latn-CS"/>
        </w:rPr>
      </w:pPr>
    </w:p>
    <w:p w:rsidR="00662DA8" w:rsidRPr="00EB3B89" w:rsidRDefault="009129D1" w:rsidP="00D36649">
      <w:pPr>
        <w:jc w:val="center"/>
        <w:rPr>
          <w:lang w:val="sr-Latn-CS"/>
        </w:rPr>
      </w:pPr>
      <w:r>
        <w:rPr>
          <w:lang w:val="sr-Latn-CS"/>
        </w:rPr>
        <w:t>БИЈЕЉИНА</w:t>
      </w:r>
      <w:r w:rsidR="00132E4C" w:rsidRPr="00EB3B89">
        <w:rPr>
          <w:lang w:val="sr-Latn-CS"/>
        </w:rPr>
        <w:t xml:space="preserve">, </w:t>
      </w:r>
      <w:r>
        <w:rPr>
          <w:lang w:val="sr-Latn-BA"/>
        </w:rPr>
        <w:t>децембар</w:t>
      </w:r>
      <w:r w:rsidR="00EE57D3">
        <w:rPr>
          <w:lang w:val="sr-Latn-BA"/>
        </w:rPr>
        <w:t xml:space="preserve"> 202</w:t>
      </w:r>
      <w:r w:rsidR="00F4614A">
        <w:rPr>
          <w:lang w:val="sr-Cyrl-BA"/>
        </w:rPr>
        <w:t>4</w:t>
      </w:r>
      <w:r w:rsidR="00662DA8" w:rsidRPr="00EB3B89">
        <w:rPr>
          <w:lang w:val="sr-Latn-CS"/>
        </w:rPr>
        <w:t xml:space="preserve">. </w:t>
      </w:r>
      <w:r>
        <w:rPr>
          <w:lang w:val="sr-Latn-CS"/>
        </w:rPr>
        <w:t>године</w:t>
      </w:r>
    </w:p>
    <w:p w:rsidR="00F07198" w:rsidRPr="00F07198" w:rsidRDefault="00F07198" w:rsidP="00F07198">
      <w:pPr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 xml:space="preserve">                  </w:t>
      </w:r>
    </w:p>
    <w:p w:rsidR="00F07198" w:rsidRDefault="00F07198" w:rsidP="00F07198">
      <w:pPr>
        <w:rPr>
          <w:b/>
          <w:sz w:val="28"/>
          <w:szCs w:val="28"/>
          <w:lang w:val="sr-Latn-CS"/>
        </w:rPr>
      </w:pPr>
    </w:p>
    <w:p w:rsidR="00C3166D" w:rsidRPr="008F0DB5" w:rsidRDefault="009129D1">
      <w:pPr>
        <w:pStyle w:val="TOCHeading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САДРЖАЈ</w:t>
      </w:r>
      <w:r w:rsidR="008F0DB5" w:rsidRPr="008F0DB5">
        <w:rPr>
          <w:rFonts w:ascii="Times New Roman" w:hAnsi="Times New Roman"/>
          <w:color w:val="auto"/>
          <w:sz w:val="24"/>
          <w:szCs w:val="24"/>
        </w:rPr>
        <w:t>:</w:t>
      </w:r>
    </w:p>
    <w:p w:rsidR="00C3166D" w:rsidRPr="00C3166D" w:rsidRDefault="00D12491" w:rsidP="00D12491">
      <w:pPr>
        <w:tabs>
          <w:tab w:val="left" w:pos="1380"/>
        </w:tabs>
        <w:rPr>
          <w:lang w:eastAsia="ja-JP"/>
        </w:rPr>
      </w:pPr>
      <w:r>
        <w:rPr>
          <w:lang w:eastAsia="ja-JP"/>
        </w:rPr>
        <w:tab/>
      </w:r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r w:rsidRPr="00197D20">
        <w:fldChar w:fldCharType="begin"/>
      </w:r>
      <w:r w:rsidR="00C3166D">
        <w:instrText xml:space="preserve"> TOC \o "1-3" \h \z \u </w:instrText>
      </w:r>
      <w:r w:rsidRPr="00197D20">
        <w:fldChar w:fldCharType="separate"/>
      </w:r>
      <w:hyperlink w:anchor="_Toc153538036" w:history="1">
        <w:r w:rsidR="00DD09B0" w:rsidRPr="00E25D6C">
          <w:rPr>
            <w:rStyle w:val="Hyperlink"/>
            <w:noProof/>
            <w:lang w:val="sr-Latn-CS"/>
          </w:rPr>
          <w:t>I – УВОДНА НАПОМЕНА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37" w:history="1">
        <w:r w:rsidR="00DD09B0" w:rsidRPr="00E25D6C">
          <w:rPr>
            <w:rStyle w:val="Hyperlink"/>
            <w:noProof/>
            <w:lang w:val="sr-Latn-CS"/>
          </w:rPr>
          <w:t>II – ОРГАНИЗАЦИЈА РАДА НА ИЗРАДИ, ДОНОШЕЊУ И РЕАЛИЗАЦИЈИ ПЛАНА ПОСЛОВАЊА АД „КОМУНАЛАЦ“ БИЈЕЉИНА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38" w:history="1">
        <w:r w:rsidR="00DD09B0" w:rsidRPr="00E25D6C">
          <w:rPr>
            <w:rStyle w:val="Hyperlink"/>
            <w:noProof/>
            <w:lang w:val="sr-Latn-CS"/>
          </w:rPr>
          <w:t>III – НОРМАТИВНО - ПРАВНА ДЈЕЛАТНОСТ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39" w:history="1">
        <w:r w:rsidR="00DD09B0" w:rsidRPr="00E25D6C">
          <w:rPr>
            <w:rStyle w:val="Hyperlink"/>
            <w:noProof/>
            <w:lang w:val="sr-Latn-CS"/>
          </w:rPr>
          <w:t>IV – ПОПУНА СИСТЕМАТИЗАЦИЈЕ, ЗАШТИТА СТАНДАРДА ЗАПОСЛЕНИХ,    ОБУКА И ОСПОСОБЉАВАЊЕ ЗАПОСЛЕНИХ РАДНИКА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0" w:history="1">
        <w:r w:rsidR="00DD09B0" w:rsidRPr="00E25D6C">
          <w:rPr>
            <w:rStyle w:val="Hyperlink"/>
            <w:noProof/>
            <w:lang w:val="sr-Latn-CS"/>
          </w:rPr>
          <w:t>V – МАТЕРИЈАЛНО-ТЕХНИЧКА ОПРЕМЉЕНОСТ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1" w:history="1">
        <w:r w:rsidR="00DD09B0" w:rsidRPr="00E25D6C">
          <w:rPr>
            <w:rStyle w:val="Hyperlink"/>
            <w:noProof/>
            <w:lang w:val="sr-Latn-CS"/>
          </w:rPr>
          <w:t>VI – МЈЕРЕ ЗАШТИТЕ ЖИВОТНЕ И РАДНЕ СРЕДИНЕ, ЗАШТИТЕ НА РАДУ И ЗАШТИТЕ ОД ПОЖАРА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2" w:history="1">
        <w:r w:rsidR="00DD09B0" w:rsidRPr="00E25D6C">
          <w:rPr>
            <w:rStyle w:val="Hyperlink"/>
            <w:noProof/>
            <w:lang w:val="sr-Latn-CS"/>
          </w:rPr>
          <w:t>VII – ОСТВАРИВАЊЕ РЕГИСТРОВАНИХ ДЈЕЛАТНОСТИ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4" w:history="1">
        <w:r w:rsidR="00DD09B0" w:rsidRPr="00E25D6C">
          <w:rPr>
            <w:rStyle w:val="Hyperlink"/>
            <w:noProof/>
            <w:lang w:val="sr-Latn-CS"/>
          </w:rPr>
          <w:t>VIII –</w:t>
        </w:r>
        <w:r w:rsidR="00DD09B0" w:rsidRPr="00E25D6C">
          <w:rPr>
            <w:rStyle w:val="Hyperlink"/>
            <w:noProof/>
            <w:lang w:val="sr-Cyrl-BA"/>
          </w:rPr>
          <w:t xml:space="preserve"> ПЛАН НОВЧАНИХ ТОКОВА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5" w:history="1">
        <w:r w:rsidR="00DD09B0" w:rsidRPr="00E25D6C">
          <w:rPr>
            <w:rStyle w:val="Hyperlink"/>
            <w:noProof/>
            <w:lang w:val="sr-Latn-CS"/>
          </w:rPr>
          <w:t>IX –</w:t>
        </w:r>
        <w:r w:rsidR="00DD09B0" w:rsidRPr="00E25D6C">
          <w:rPr>
            <w:rStyle w:val="Hyperlink"/>
            <w:noProof/>
            <w:lang w:val="sr-Cyrl-BA"/>
          </w:rPr>
          <w:t xml:space="preserve"> ПЛАН УПРАВЉАЊА РИЗИЦИМА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2"/>
        <w:tabs>
          <w:tab w:val="left" w:pos="8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6" w:history="1">
        <w:r w:rsidR="00DD09B0" w:rsidRPr="00E25D6C">
          <w:rPr>
            <w:rStyle w:val="Hyperlink"/>
            <w:noProof/>
          </w:rPr>
          <w:t>9.1.</w:t>
        </w:r>
        <w:r w:rsidR="00DD09B0"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="00DD09B0" w:rsidRPr="00E25D6C">
          <w:rPr>
            <w:rStyle w:val="Hyperlink"/>
            <w:noProof/>
            <w:lang w:val="sr-Cyrl-BA"/>
          </w:rPr>
          <w:t>Кредитни ризик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2"/>
        <w:tabs>
          <w:tab w:val="left" w:pos="8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7" w:history="1">
        <w:r w:rsidR="00DD09B0" w:rsidRPr="00E25D6C">
          <w:rPr>
            <w:rStyle w:val="Hyperlink"/>
            <w:noProof/>
          </w:rPr>
          <w:t>9.2.</w:t>
        </w:r>
        <w:r w:rsidR="00DD09B0"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="00DD09B0" w:rsidRPr="00E25D6C">
          <w:rPr>
            <w:rStyle w:val="Hyperlink"/>
            <w:noProof/>
            <w:lang w:val="sr-Cyrl-BA"/>
          </w:rPr>
          <w:t>Цјеновни ризик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09B0" w:rsidRDefault="00197D20">
      <w:pPr>
        <w:pStyle w:val="TOC2"/>
        <w:tabs>
          <w:tab w:val="left" w:pos="880"/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153538048" w:history="1">
        <w:r w:rsidR="00DD09B0" w:rsidRPr="00E25D6C">
          <w:rPr>
            <w:rStyle w:val="Hyperlink"/>
            <w:noProof/>
          </w:rPr>
          <w:t>9.1.</w:t>
        </w:r>
        <w:r w:rsidR="00DD09B0"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="00DD09B0" w:rsidRPr="00E25D6C">
          <w:rPr>
            <w:rStyle w:val="Hyperlink"/>
            <w:noProof/>
            <w:lang w:val="sr-Cyrl-BA"/>
          </w:rPr>
          <w:t>Ризик ликвидности</w:t>
        </w:r>
        <w:r w:rsidR="00DD09B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09B0">
          <w:rPr>
            <w:noProof/>
            <w:webHidden/>
          </w:rPr>
          <w:instrText xml:space="preserve"> PAGEREF _Toc153538048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0CF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3166D" w:rsidRDefault="00197D20">
      <w:r>
        <w:rPr>
          <w:b/>
          <w:bCs/>
          <w:noProof/>
        </w:rPr>
        <w:fldChar w:fldCharType="end"/>
      </w:r>
    </w:p>
    <w:p w:rsidR="00C3166D" w:rsidRDefault="00C3166D"/>
    <w:p w:rsidR="00C3166D" w:rsidRDefault="00C3166D" w:rsidP="00EB3B89">
      <w:pPr>
        <w:pStyle w:val="Heading1"/>
        <w:rPr>
          <w:b w:val="0"/>
          <w:sz w:val="24"/>
          <w:szCs w:val="24"/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C3166D" w:rsidRDefault="00C3166D" w:rsidP="00C3166D">
      <w:pPr>
        <w:rPr>
          <w:lang w:val="sr-Latn-CS"/>
        </w:rPr>
      </w:pPr>
    </w:p>
    <w:p w:rsidR="00F07198" w:rsidRPr="00CD2423" w:rsidRDefault="009129D1" w:rsidP="00EB3B89">
      <w:pPr>
        <w:pStyle w:val="Heading1"/>
        <w:rPr>
          <w:rFonts w:ascii="Times New Roman" w:hAnsi="Times New Roman"/>
          <w:sz w:val="24"/>
          <w:szCs w:val="24"/>
          <w:lang w:val="sr-Latn-CS"/>
        </w:rPr>
      </w:pPr>
      <w:bookmarkStart w:id="0" w:name="_Toc351725956"/>
      <w:bookmarkStart w:id="1" w:name="_Toc153538036"/>
      <w:r>
        <w:rPr>
          <w:rFonts w:ascii="Times New Roman" w:hAnsi="Times New Roman"/>
          <w:sz w:val="24"/>
          <w:szCs w:val="24"/>
          <w:lang w:val="sr-Latn-CS"/>
        </w:rPr>
        <w:lastRenderedPageBreak/>
        <w:t>I</w:t>
      </w:r>
      <w:r w:rsidR="00F07198" w:rsidRPr="00CD2423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Latn-CS"/>
        </w:rPr>
        <w:t>УВОДНА</w:t>
      </w:r>
      <w:r w:rsidR="00F0719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НАПОМЕНА</w:t>
      </w:r>
      <w:bookmarkEnd w:id="0"/>
      <w:bookmarkEnd w:id="1"/>
    </w:p>
    <w:p w:rsidR="00270388" w:rsidRPr="00EB3B89" w:rsidRDefault="00270388" w:rsidP="000C7322">
      <w:pPr>
        <w:pStyle w:val="NoSpacing"/>
        <w:rPr>
          <w:lang w:val="sr-Latn-CS"/>
        </w:rPr>
      </w:pPr>
    </w:p>
    <w:p w:rsidR="004C3389" w:rsidRDefault="009129D1" w:rsidP="002A7E74">
      <w:pPr>
        <w:ind w:firstLine="720"/>
        <w:jc w:val="both"/>
        <w:rPr>
          <w:b/>
          <w:lang w:val="sr-Latn-CS"/>
        </w:rPr>
      </w:pPr>
      <w:r>
        <w:rPr>
          <w:lang w:val="sr-Latn-CS"/>
        </w:rPr>
        <w:t>У</w:t>
      </w:r>
      <w:r w:rsidR="009201C4" w:rsidRPr="00EB3B89">
        <w:rPr>
          <w:lang w:val="sr-Latn-CS"/>
        </w:rPr>
        <w:t xml:space="preserve"> </w:t>
      </w:r>
      <w:r>
        <w:rPr>
          <w:lang w:val="sr-Latn-CS"/>
        </w:rPr>
        <w:t>току</w:t>
      </w:r>
      <w:r w:rsidR="009201C4" w:rsidRPr="00EB3B89">
        <w:rPr>
          <w:lang w:val="sr-Latn-CS"/>
        </w:rPr>
        <w:t xml:space="preserve"> </w:t>
      </w:r>
      <w:r w:rsidR="00EE57D3">
        <w:rPr>
          <w:lang w:val="sr-Latn-CS"/>
        </w:rPr>
        <w:t>202</w:t>
      </w:r>
      <w:r w:rsidR="00F4614A">
        <w:rPr>
          <w:lang w:val="sr-Cyrl-BA"/>
        </w:rPr>
        <w:t>5</w:t>
      </w:r>
      <w:r w:rsidR="00F07198" w:rsidRPr="00EB3B89">
        <w:rPr>
          <w:lang w:val="sr-Latn-CS"/>
        </w:rPr>
        <w:t xml:space="preserve">. </w:t>
      </w:r>
      <w:r>
        <w:rPr>
          <w:lang w:val="sr-Latn-CS"/>
        </w:rPr>
        <w:t>године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2A7E74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2A7E74">
        <w:rPr>
          <w:lang w:val="sr-Latn-CS"/>
        </w:rPr>
        <w:t xml:space="preserve">“ </w:t>
      </w:r>
      <w:r>
        <w:rPr>
          <w:lang w:val="sr-Latn-CS"/>
        </w:rPr>
        <w:t>Бијељина</w:t>
      </w:r>
      <w:r w:rsidR="002A7E74">
        <w:rPr>
          <w:lang w:val="sr-Latn-CS"/>
        </w:rPr>
        <w:t xml:space="preserve"> </w:t>
      </w:r>
      <w:r>
        <w:rPr>
          <w:lang w:val="sr-Latn-CS"/>
        </w:rPr>
        <w:t>ће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извршити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све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предвиђене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2A5C87" w:rsidRPr="00EB3B89">
        <w:rPr>
          <w:lang w:val="sr-Latn-CS"/>
        </w:rPr>
        <w:t>,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које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су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утврђене</w:t>
      </w:r>
      <w:r w:rsidR="00EB3B89">
        <w:rPr>
          <w:lang w:val="sr-Latn-CS"/>
        </w:rPr>
        <w:t xml:space="preserve"> </w:t>
      </w:r>
      <w:r>
        <w:rPr>
          <w:lang w:val="sr-Latn-CS"/>
        </w:rPr>
        <w:t>Планом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5B2689" w:rsidRPr="00EB3B89">
        <w:rPr>
          <w:lang w:val="sr-Latn-CS"/>
        </w:rPr>
        <w:t xml:space="preserve">, </w:t>
      </w:r>
      <w:r>
        <w:rPr>
          <w:lang w:val="sr-Latn-CS"/>
        </w:rPr>
        <w:t>као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Планом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инвестиционих</w:t>
      </w:r>
      <w:r w:rsidR="009201C4" w:rsidRPr="00EB3B89">
        <w:rPr>
          <w:lang w:val="sr-Latn-CS"/>
        </w:rPr>
        <w:t xml:space="preserve"> </w:t>
      </w:r>
      <w:r>
        <w:rPr>
          <w:lang w:val="sr-Latn-CS"/>
        </w:rPr>
        <w:t>улагања</w:t>
      </w:r>
      <w:r w:rsidR="009201C4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C63F92">
        <w:rPr>
          <w:lang w:val="sr-Latn-CS"/>
        </w:rPr>
        <w:t xml:space="preserve"> 202</w:t>
      </w:r>
      <w:r w:rsidR="00F4614A">
        <w:rPr>
          <w:lang w:val="sr-Cyrl-BA"/>
        </w:rPr>
        <w:t>5</w:t>
      </w:r>
      <w:r w:rsidR="005B2689" w:rsidRPr="00EB3B89">
        <w:rPr>
          <w:lang w:val="sr-Latn-CS"/>
        </w:rPr>
        <w:t xml:space="preserve">. </w:t>
      </w:r>
      <w:r>
        <w:rPr>
          <w:lang w:val="sr-Latn-CS"/>
        </w:rPr>
        <w:t>годину</w:t>
      </w:r>
      <w:r w:rsidR="00F07198" w:rsidRPr="00EB3B89">
        <w:rPr>
          <w:lang w:val="sr-Latn-CS"/>
        </w:rPr>
        <w:t xml:space="preserve">, </w:t>
      </w:r>
      <w:r>
        <w:rPr>
          <w:lang w:val="sr-Latn-CS"/>
        </w:rPr>
        <w:t>водећи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првенствено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рачуна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томе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да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подигне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квалитет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наших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2A5C87" w:rsidRPr="00EB3B89">
        <w:rPr>
          <w:lang w:val="sr-Latn-CS"/>
        </w:rPr>
        <w:t>,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те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да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прилагодимо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тржишним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условима</w:t>
      </w:r>
      <w:r w:rsidR="00F0719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F07198" w:rsidRPr="00EB3B89">
        <w:rPr>
          <w:lang w:val="sr-Latn-CS"/>
        </w:rPr>
        <w:t>.</w:t>
      </w:r>
      <w:r w:rsidR="00F07198" w:rsidRPr="00EB3B89">
        <w:rPr>
          <w:b/>
          <w:lang w:val="sr-Latn-CS"/>
        </w:rPr>
        <w:t xml:space="preserve"> </w:t>
      </w:r>
    </w:p>
    <w:p w:rsidR="00662DA8" w:rsidRDefault="009129D1" w:rsidP="002A7E74">
      <w:pPr>
        <w:ind w:firstLine="720"/>
        <w:jc w:val="both"/>
        <w:rPr>
          <w:lang w:val="sr-Latn-CS"/>
        </w:rPr>
      </w:pPr>
      <w:r>
        <w:rPr>
          <w:lang w:val="sr-Latn-CS"/>
        </w:rPr>
        <w:t>Управа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2A7E74">
        <w:rPr>
          <w:lang w:val="sr-Latn-CS"/>
        </w:rPr>
        <w:t xml:space="preserve"> </w:t>
      </w:r>
      <w:r w:rsidR="00662DA8" w:rsidRPr="00EB3B89">
        <w:rPr>
          <w:lang w:val="sr-Latn-CS"/>
        </w:rPr>
        <w:t>„</w:t>
      </w:r>
      <w:r>
        <w:rPr>
          <w:lang w:val="sr-Latn-CS"/>
        </w:rPr>
        <w:t>Комуналац</w:t>
      </w:r>
      <w:r w:rsidR="00662DA8" w:rsidRPr="00EB3B89">
        <w:rPr>
          <w:lang w:val="sr-Latn-CS"/>
        </w:rPr>
        <w:t>“</w:t>
      </w:r>
      <w:r w:rsidR="002A7E74">
        <w:rPr>
          <w:lang w:val="sr-Latn-CS"/>
        </w:rPr>
        <w:t xml:space="preserve"> </w:t>
      </w:r>
      <w:r>
        <w:rPr>
          <w:lang w:val="sr-Latn-CS"/>
        </w:rPr>
        <w:t>Бијељина</w:t>
      </w:r>
      <w:r w:rsidR="00CC47CD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сходно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одредби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члана</w:t>
      </w:r>
      <w:r w:rsidR="00662DA8" w:rsidRPr="00EB3B89">
        <w:rPr>
          <w:lang w:val="sr-Latn-CS"/>
        </w:rPr>
        <w:t xml:space="preserve"> 21. </w:t>
      </w:r>
      <w:r>
        <w:rPr>
          <w:lang w:val="sr-Latn-CS"/>
        </w:rPr>
        <w:t>Закона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јавним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предузећима</w:t>
      </w:r>
      <w:r w:rsidR="00662DA8" w:rsidRPr="00EB3B89">
        <w:rPr>
          <w:lang w:val="sr-Latn-CS"/>
        </w:rPr>
        <w:t xml:space="preserve"> („</w:t>
      </w:r>
      <w:r>
        <w:rPr>
          <w:lang w:val="sr-Latn-CS"/>
        </w:rPr>
        <w:t>Службени</w:t>
      </w:r>
      <w:r w:rsidR="002A7E74">
        <w:rPr>
          <w:lang w:val="sr-Latn-CS"/>
        </w:rPr>
        <w:t xml:space="preserve"> </w:t>
      </w:r>
      <w:r>
        <w:rPr>
          <w:lang w:val="sr-Latn-CS"/>
        </w:rPr>
        <w:t>гласник</w:t>
      </w:r>
      <w:r w:rsidR="002A7E74">
        <w:rPr>
          <w:lang w:val="sr-Latn-CS"/>
        </w:rPr>
        <w:t xml:space="preserve"> </w:t>
      </w:r>
      <w:r>
        <w:rPr>
          <w:lang w:val="sr-Latn-CS"/>
        </w:rPr>
        <w:t>Републике</w:t>
      </w:r>
      <w:r w:rsidR="002A7E74">
        <w:rPr>
          <w:lang w:val="sr-Latn-CS"/>
        </w:rPr>
        <w:t xml:space="preserve"> </w:t>
      </w:r>
      <w:r>
        <w:rPr>
          <w:lang w:val="sr-Latn-CS"/>
        </w:rPr>
        <w:t>Српске</w:t>
      </w:r>
      <w:r w:rsidR="00662DA8" w:rsidRPr="00EB3B89">
        <w:rPr>
          <w:lang w:val="sr-Latn-CS"/>
        </w:rPr>
        <w:t xml:space="preserve">“, </w:t>
      </w:r>
      <w:r>
        <w:rPr>
          <w:lang w:val="sr-Latn-CS"/>
        </w:rPr>
        <w:t>број</w:t>
      </w:r>
      <w:r w:rsidR="00662DA8" w:rsidRPr="00EB3B89">
        <w:rPr>
          <w:lang w:val="sr-Latn-CS"/>
        </w:rPr>
        <w:t xml:space="preserve"> 75/04</w:t>
      </w:r>
      <w:r w:rsidR="00EB3B89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EB3B89" w:rsidRPr="00EB3B89">
        <w:rPr>
          <w:lang w:val="sr-Latn-CS"/>
        </w:rPr>
        <w:t xml:space="preserve"> 78/11</w:t>
      </w:r>
      <w:r w:rsidR="00662DA8" w:rsidRPr="00EB3B89">
        <w:rPr>
          <w:lang w:val="sr-Latn-CS"/>
        </w:rPr>
        <w:t>)</w:t>
      </w:r>
      <w:r w:rsidR="00CC47CD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израђује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надгледа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реализацију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Плана</w:t>
      </w:r>
      <w:r w:rsid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EB3B89">
        <w:rPr>
          <w:lang w:val="sr-Latn-CS"/>
        </w:rPr>
        <w:t xml:space="preserve">, </w:t>
      </w:r>
      <w:r>
        <w:rPr>
          <w:lang w:val="sr-Latn-CS"/>
        </w:rPr>
        <w:t>а</w:t>
      </w:r>
      <w:r w:rsid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EB3B89">
        <w:rPr>
          <w:lang w:val="sr-Latn-CS"/>
        </w:rPr>
        <w:t xml:space="preserve"> </w:t>
      </w:r>
      <w:r>
        <w:rPr>
          <w:lang w:val="sr-Latn-CS"/>
        </w:rPr>
        <w:t>складу</w:t>
      </w:r>
      <w:r w:rsid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Међународним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рачуноводственим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стандардима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прописима</w:t>
      </w:r>
      <w:r w:rsidR="004D2CCE">
        <w:rPr>
          <w:lang w:val="sr-Latn-CS"/>
        </w:rPr>
        <w:t xml:space="preserve"> </w:t>
      </w:r>
      <w:r>
        <w:rPr>
          <w:lang w:val="sr-Latn-CS"/>
        </w:rPr>
        <w:t>о</w:t>
      </w:r>
      <w:r w:rsidR="004D2CCE">
        <w:rPr>
          <w:lang w:val="sr-Latn-CS"/>
        </w:rPr>
        <w:t xml:space="preserve"> </w:t>
      </w:r>
      <w:r>
        <w:rPr>
          <w:lang w:val="sr-Latn-CS"/>
        </w:rPr>
        <w:t>рачуноводственим</w:t>
      </w:r>
      <w:r w:rsidR="004D2CCE">
        <w:rPr>
          <w:lang w:val="sr-Latn-CS"/>
        </w:rPr>
        <w:t xml:space="preserve"> </w:t>
      </w:r>
      <w:r>
        <w:rPr>
          <w:lang w:val="sr-Latn-CS"/>
        </w:rPr>
        <w:t>и</w:t>
      </w:r>
      <w:r w:rsidR="004D2CCE">
        <w:rPr>
          <w:lang w:val="sr-Latn-CS"/>
        </w:rPr>
        <w:t xml:space="preserve"> </w:t>
      </w:r>
      <w:r>
        <w:rPr>
          <w:lang w:val="sr-Latn-CS"/>
        </w:rPr>
        <w:t>ревизијским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стандардима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Републике</w:t>
      </w:r>
      <w:r w:rsidR="003600B3">
        <w:rPr>
          <w:lang w:val="sr-Latn-CS"/>
        </w:rPr>
        <w:t xml:space="preserve"> </w:t>
      </w:r>
      <w:r>
        <w:rPr>
          <w:lang w:val="sr-Latn-CS"/>
        </w:rPr>
        <w:t>Српске</w:t>
      </w:r>
      <w:r w:rsidR="00662DA8" w:rsidRPr="00EB3B89">
        <w:rPr>
          <w:lang w:val="sr-Latn-CS"/>
        </w:rPr>
        <w:t>.</w:t>
      </w:r>
    </w:p>
    <w:p w:rsidR="00662DA8" w:rsidRDefault="009129D1" w:rsidP="007F130E">
      <w:pPr>
        <w:ind w:firstLine="720"/>
        <w:jc w:val="both"/>
        <w:rPr>
          <w:lang w:val="sr-Latn-CS"/>
        </w:rPr>
      </w:pPr>
      <w:r>
        <w:rPr>
          <w:lang w:val="sr-Latn-CS"/>
        </w:rPr>
        <w:t>План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5B2689" w:rsidRPr="00EB3B89">
        <w:rPr>
          <w:lang w:val="sr-Latn-CS"/>
        </w:rPr>
        <w:t xml:space="preserve"> </w:t>
      </w:r>
      <w:r w:rsidR="00C63F92">
        <w:rPr>
          <w:lang w:val="sr-Latn-CS"/>
        </w:rPr>
        <w:t>20</w:t>
      </w:r>
      <w:r w:rsidR="00EE57D3">
        <w:rPr>
          <w:lang w:val="sr-Latn-CS"/>
        </w:rPr>
        <w:t>2</w:t>
      </w:r>
      <w:r w:rsidR="00F4614A">
        <w:rPr>
          <w:lang w:val="sr-Cyrl-BA"/>
        </w:rPr>
        <w:t>5</w:t>
      </w:r>
      <w:r w:rsidR="00CC47CD" w:rsidRPr="00EB3B89">
        <w:rPr>
          <w:lang w:val="sr-Latn-CS"/>
        </w:rPr>
        <w:t xml:space="preserve">. </w:t>
      </w:r>
      <w:r>
        <w:rPr>
          <w:lang w:val="sr-Latn-CS"/>
        </w:rPr>
        <w:t>годину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представља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планску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реализацију</w:t>
      </w:r>
      <w:r w:rsidR="00662DA8" w:rsidRPr="00EB3B89">
        <w:rPr>
          <w:lang w:val="sr-Latn-CS"/>
        </w:rPr>
        <w:t xml:space="preserve"> – </w:t>
      </w:r>
      <w:r>
        <w:rPr>
          <w:lang w:val="sr-Latn-CS"/>
        </w:rPr>
        <w:t>остваривање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регистроване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дјелатности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2C4095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2C4095">
        <w:rPr>
          <w:lang w:val="sr-Latn-CS"/>
        </w:rPr>
        <w:t xml:space="preserve">“ </w:t>
      </w:r>
      <w:r>
        <w:rPr>
          <w:lang w:val="sr-Latn-CS"/>
        </w:rPr>
        <w:t>Бијељина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једногодишњем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периоду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уз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ангажовање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материјално</w:t>
      </w:r>
      <w:r w:rsidR="003600B3">
        <w:rPr>
          <w:lang w:val="sr-Latn-CS"/>
        </w:rPr>
        <w:t xml:space="preserve"> </w:t>
      </w:r>
      <w:r w:rsidR="00662DA8" w:rsidRPr="00EB3B89">
        <w:rPr>
          <w:lang w:val="sr-Latn-CS"/>
        </w:rPr>
        <w:t>-</w:t>
      </w:r>
      <w:r w:rsidR="003600B3">
        <w:rPr>
          <w:lang w:val="sr-Latn-CS"/>
        </w:rPr>
        <w:t xml:space="preserve"> </w:t>
      </w:r>
      <w:r>
        <w:rPr>
          <w:lang w:val="sr-Latn-CS"/>
        </w:rPr>
        <w:t>техничких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кадровских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капацитета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којима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располаже</w:t>
      </w:r>
      <w:r w:rsidR="00662DA8" w:rsidRPr="00EB3B89">
        <w:rPr>
          <w:lang w:val="sr-Latn-CS"/>
        </w:rPr>
        <w:t>.</w:t>
      </w:r>
    </w:p>
    <w:p w:rsidR="00662DA8" w:rsidRPr="00EB3B89" w:rsidRDefault="009129D1" w:rsidP="002C4095">
      <w:pPr>
        <w:ind w:firstLine="720"/>
        <w:jc w:val="both"/>
        <w:rPr>
          <w:lang w:val="sr-Latn-CS"/>
        </w:rPr>
      </w:pPr>
      <w:r>
        <w:rPr>
          <w:lang w:val="sr-Latn-CS"/>
        </w:rPr>
        <w:t>Планом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утврђују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најзначајнији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послови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задаци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нарочито</w:t>
      </w:r>
      <w:r w:rsidR="00662DA8" w:rsidRPr="00EB3B89">
        <w:rPr>
          <w:lang w:val="sr-Latn-CS"/>
        </w:rPr>
        <w:t>: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Нормативно</w:t>
      </w:r>
      <w:r w:rsidR="002C4095">
        <w:rPr>
          <w:lang w:val="sr-Latn-CS"/>
        </w:rPr>
        <w:t xml:space="preserve"> </w:t>
      </w:r>
      <w:r w:rsidR="00662DA8" w:rsidRPr="00EB3B89">
        <w:rPr>
          <w:lang w:val="sr-Latn-CS"/>
        </w:rPr>
        <w:t>-</w:t>
      </w:r>
      <w:r w:rsidR="002C4095">
        <w:rPr>
          <w:lang w:val="sr-Latn-CS"/>
        </w:rPr>
        <w:t xml:space="preserve"> </w:t>
      </w:r>
      <w:r>
        <w:rPr>
          <w:lang w:val="sr-Latn-CS"/>
        </w:rPr>
        <w:t>правна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Попуна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систематизације</w:t>
      </w:r>
      <w:r w:rsidR="004C3389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обучавање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оспособљавање</w:t>
      </w:r>
      <w:r w:rsidR="00770AF9" w:rsidRPr="00EB3B89">
        <w:rPr>
          <w:lang w:val="sr-Latn-CS"/>
        </w:rPr>
        <w:t xml:space="preserve"> </w:t>
      </w:r>
      <w:r>
        <w:rPr>
          <w:lang w:val="sr-Latn-CS"/>
        </w:rPr>
        <w:t>радника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Материјално</w:t>
      </w:r>
      <w:r w:rsidR="002C4095">
        <w:rPr>
          <w:lang w:val="sr-Latn-CS"/>
        </w:rPr>
        <w:t xml:space="preserve"> </w:t>
      </w:r>
      <w:r w:rsidR="00662DA8" w:rsidRPr="00EB3B89">
        <w:rPr>
          <w:lang w:val="sr-Latn-CS"/>
        </w:rPr>
        <w:t>-</w:t>
      </w:r>
      <w:r w:rsidR="002C4095">
        <w:rPr>
          <w:lang w:val="sr-Latn-CS"/>
        </w:rPr>
        <w:t xml:space="preserve"> </w:t>
      </w:r>
      <w:r>
        <w:rPr>
          <w:lang w:val="sr-Latn-CS"/>
        </w:rPr>
        <w:t>техничко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опремање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Заштита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пожара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Остваривање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регистрованих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Задаци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интерне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ревизије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Планирани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приходи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расходи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Капитални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издаци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планском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периоду</w:t>
      </w:r>
      <w:r w:rsidR="002C4095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Извори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финансирања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планиране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капиталне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издатке</w:t>
      </w:r>
      <w:r w:rsidR="00F42695">
        <w:rPr>
          <w:lang w:val="sr-Latn-CS"/>
        </w:rPr>
        <w:t>.</w:t>
      </w:r>
    </w:p>
    <w:p w:rsidR="00662DA8" w:rsidRPr="00CD2423" w:rsidRDefault="009129D1" w:rsidP="00EB3B89">
      <w:pPr>
        <w:pStyle w:val="Heading1"/>
        <w:rPr>
          <w:rFonts w:ascii="Times New Roman" w:hAnsi="Times New Roman"/>
          <w:sz w:val="24"/>
          <w:szCs w:val="24"/>
          <w:lang w:val="sr-Latn-CS"/>
        </w:rPr>
      </w:pPr>
      <w:bookmarkStart w:id="2" w:name="_Toc351725957"/>
      <w:bookmarkStart w:id="3" w:name="_Toc153538037"/>
      <w:r>
        <w:rPr>
          <w:rFonts w:ascii="Times New Roman" w:hAnsi="Times New Roman"/>
          <w:sz w:val="24"/>
          <w:szCs w:val="24"/>
          <w:lang w:val="sr-Latn-CS"/>
        </w:rPr>
        <w:t>II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Latn-CS"/>
        </w:rPr>
        <w:t>ОРГАНИЗАЦИЈА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ИЗРАДИ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ДОНОШЕЊУ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РЕАЛИЗАЦИЈИ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ПЛАНА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ПОСЛОВАЊА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АД</w:t>
      </w:r>
      <w:bookmarkEnd w:id="2"/>
      <w:r w:rsidR="002C4095" w:rsidRPr="00CD2423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КОМУНАЛАЦ</w:t>
      </w:r>
      <w:r w:rsidR="002C4095" w:rsidRPr="00CD2423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  <w:lang w:val="sr-Latn-CS"/>
        </w:rPr>
        <w:t>БИЈЕЉИНА</w:t>
      </w:r>
      <w:bookmarkEnd w:id="3"/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4C3389" w:rsidRPr="002C4095" w:rsidRDefault="004C3389" w:rsidP="00662DA8">
      <w:pPr>
        <w:jc w:val="both"/>
        <w:rPr>
          <w:lang w:val="sr-Latn-CS"/>
        </w:rPr>
      </w:pPr>
    </w:p>
    <w:p w:rsidR="004C3389" w:rsidRDefault="009129D1" w:rsidP="002C4095">
      <w:pPr>
        <w:ind w:firstLine="720"/>
        <w:jc w:val="both"/>
        <w:rPr>
          <w:lang w:val="sr-Latn-CS"/>
        </w:rPr>
      </w:pP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период</w:t>
      </w:r>
      <w:r w:rsidR="00985837" w:rsidRPr="00EB3B89">
        <w:rPr>
          <w:lang w:val="sr-Latn-CS"/>
        </w:rPr>
        <w:t>,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који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је</w:t>
      </w:r>
      <w:r w:rsidR="005B2689" w:rsidRPr="00EB3B89">
        <w:rPr>
          <w:lang w:val="sr-Latn-CS"/>
        </w:rPr>
        <w:t xml:space="preserve"> </w:t>
      </w:r>
      <w:r>
        <w:rPr>
          <w:lang w:val="sr-Latn-CS"/>
        </w:rPr>
        <w:t>донесен</w:t>
      </w:r>
      <w:r w:rsidR="004C3389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представља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основ</w:t>
      </w:r>
      <w:r w:rsidR="00EB3B89">
        <w:rPr>
          <w:lang w:val="sr-Latn-CS"/>
        </w:rPr>
        <w:t xml:space="preserve"> </w:t>
      </w:r>
      <w:r>
        <w:rPr>
          <w:lang w:val="sr-Latn-CS"/>
        </w:rPr>
        <w:t>свих</w:t>
      </w:r>
      <w:r w:rsidR="00EB3B89">
        <w:rPr>
          <w:lang w:val="sr-Latn-CS"/>
        </w:rPr>
        <w:t xml:space="preserve"> </w:t>
      </w:r>
      <w:r>
        <w:rPr>
          <w:lang w:val="sr-Latn-CS"/>
        </w:rPr>
        <w:t>пословних</w:t>
      </w:r>
      <w:r w:rsid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F42695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F42695">
        <w:rPr>
          <w:lang w:val="sr-Latn-CS"/>
        </w:rPr>
        <w:t xml:space="preserve">“ </w:t>
      </w:r>
      <w:r>
        <w:rPr>
          <w:lang w:val="sr-Latn-CS"/>
        </w:rPr>
        <w:t>Бијељина</w:t>
      </w:r>
      <w:r w:rsidR="00F42695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погледу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питања</w:t>
      </w:r>
      <w:r w:rsidR="009201C4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која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тај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документ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садржи</w:t>
      </w:r>
      <w:r w:rsidR="00662DA8" w:rsidRPr="00EB3B89">
        <w:rPr>
          <w:lang w:val="sr-Latn-CS"/>
        </w:rPr>
        <w:t xml:space="preserve">. </w:t>
      </w:r>
    </w:p>
    <w:p w:rsidR="00662DA8" w:rsidRPr="00EB3B89" w:rsidRDefault="009129D1" w:rsidP="00F42695">
      <w:pPr>
        <w:ind w:firstLine="720"/>
        <w:jc w:val="both"/>
        <w:rPr>
          <w:lang w:val="sr-Latn-CS"/>
        </w:rPr>
      </w:pP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изради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доношењу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спровођењу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значајну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улогу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имају</w:t>
      </w:r>
      <w:r w:rsidR="00662DA8" w:rsidRPr="00EB3B89">
        <w:rPr>
          <w:lang w:val="sr-Latn-CS"/>
        </w:rPr>
        <w:t>:</w:t>
      </w:r>
    </w:p>
    <w:p w:rsidR="00662DA8" w:rsidRPr="00EB3B89" w:rsidRDefault="009129D1" w:rsidP="006113DE">
      <w:pPr>
        <w:numPr>
          <w:ilvl w:val="0"/>
          <w:numId w:val="2"/>
        </w:numPr>
        <w:jc w:val="both"/>
        <w:rPr>
          <w:lang w:val="sr-Latn-CS"/>
        </w:rPr>
      </w:pPr>
      <w:r>
        <w:rPr>
          <w:lang w:val="sr-Latn-CS"/>
        </w:rPr>
        <w:t>Скупштина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акционара</w:t>
      </w:r>
      <w:r w:rsidR="004C3389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разматра</w:t>
      </w:r>
      <w:r w:rsidR="00F42695">
        <w:rPr>
          <w:lang w:val="sr-Latn-CS"/>
        </w:rPr>
        <w:t xml:space="preserve"> </w:t>
      </w:r>
      <w:r>
        <w:rPr>
          <w:lang w:val="sr-Latn-CS"/>
        </w:rPr>
        <w:t>и</w:t>
      </w:r>
      <w:r w:rsidR="00F42695">
        <w:rPr>
          <w:lang w:val="sr-Latn-CS"/>
        </w:rPr>
        <w:t xml:space="preserve"> </w:t>
      </w:r>
      <w:r>
        <w:rPr>
          <w:lang w:val="sr-Latn-CS"/>
        </w:rPr>
        <w:t>доноси</w:t>
      </w:r>
      <w:r w:rsidR="00F42695">
        <w:rPr>
          <w:lang w:val="sr-Latn-CS"/>
        </w:rPr>
        <w:t xml:space="preserve"> </w:t>
      </w:r>
      <w:r>
        <w:rPr>
          <w:lang w:val="sr-Latn-CS"/>
        </w:rPr>
        <w:t>План</w:t>
      </w:r>
      <w:r w:rsidR="00F42695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F42695">
        <w:rPr>
          <w:lang w:val="sr-Latn-CS"/>
        </w:rPr>
        <w:t xml:space="preserve"> </w:t>
      </w:r>
      <w:r>
        <w:rPr>
          <w:lang w:val="sr-Latn-CS"/>
        </w:rPr>
        <w:t>и</w:t>
      </w:r>
      <w:r w:rsidR="00F42695">
        <w:rPr>
          <w:lang w:val="sr-Latn-CS"/>
        </w:rPr>
        <w:t xml:space="preserve"> </w:t>
      </w:r>
      <w:r>
        <w:rPr>
          <w:lang w:val="sr-Latn-CS"/>
        </w:rPr>
        <w:t>ревидирани</w:t>
      </w:r>
      <w:r w:rsidR="003600B3">
        <w:rPr>
          <w:lang w:val="sr-Latn-CS"/>
        </w:rPr>
        <w:t xml:space="preserve"> </w:t>
      </w:r>
      <w:r>
        <w:rPr>
          <w:lang w:val="sr-Latn-CS"/>
        </w:rPr>
        <w:t>план</w:t>
      </w:r>
      <w:r w:rsidR="003600B3">
        <w:rPr>
          <w:lang w:val="sr-Latn-CS"/>
        </w:rPr>
        <w:t xml:space="preserve">, </w:t>
      </w:r>
      <w:r>
        <w:rPr>
          <w:lang w:val="sr-Latn-CS"/>
        </w:rPr>
        <w:t>те</w:t>
      </w:r>
      <w:r w:rsidR="003600B3">
        <w:rPr>
          <w:lang w:val="sr-Latn-CS"/>
        </w:rPr>
        <w:t xml:space="preserve"> </w:t>
      </w:r>
      <w:r>
        <w:rPr>
          <w:lang w:val="sr-Latn-CS"/>
        </w:rPr>
        <w:t>разматра</w:t>
      </w:r>
      <w:r w:rsidR="003600B3">
        <w:rPr>
          <w:lang w:val="sr-Latn-CS"/>
        </w:rPr>
        <w:t xml:space="preserve"> </w:t>
      </w:r>
      <w:r>
        <w:rPr>
          <w:lang w:val="sr-Latn-CS"/>
        </w:rPr>
        <w:t>и</w:t>
      </w:r>
      <w:r w:rsidR="003600B3">
        <w:rPr>
          <w:lang w:val="sr-Latn-CS"/>
        </w:rPr>
        <w:t xml:space="preserve"> </w:t>
      </w:r>
      <w:r>
        <w:rPr>
          <w:lang w:val="sr-Latn-CS"/>
        </w:rPr>
        <w:t>доноси</w:t>
      </w:r>
      <w:r w:rsidR="003600B3">
        <w:rPr>
          <w:lang w:val="sr-Latn-CS"/>
        </w:rPr>
        <w:t xml:space="preserve"> </w:t>
      </w:r>
      <w:r>
        <w:rPr>
          <w:lang w:val="sr-Latn-CS"/>
        </w:rPr>
        <w:t>програм</w:t>
      </w:r>
      <w:r w:rsidR="003600B3">
        <w:rPr>
          <w:lang w:val="sr-Latn-CS"/>
        </w:rPr>
        <w:t xml:space="preserve"> </w:t>
      </w:r>
      <w:r>
        <w:rPr>
          <w:lang w:val="sr-Latn-CS"/>
        </w:rPr>
        <w:t>инвестиција</w:t>
      </w:r>
      <w:r w:rsidR="003600B3">
        <w:rPr>
          <w:lang w:val="sr-Latn-CS"/>
        </w:rPr>
        <w:t xml:space="preserve"> </w:t>
      </w:r>
      <w:r>
        <w:rPr>
          <w:lang w:val="sr-Latn-CS"/>
        </w:rPr>
        <w:t>за</w:t>
      </w:r>
      <w:r w:rsidR="003600B3">
        <w:rPr>
          <w:lang w:val="sr-Latn-CS"/>
        </w:rPr>
        <w:t xml:space="preserve"> </w:t>
      </w:r>
      <w:r>
        <w:rPr>
          <w:lang w:val="sr-Latn-CS"/>
        </w:rPr>
        <w:t>усвојени</w:t>
      </w:r>
      <w:r w:rsidR="003600B3">
        <w:rPr>
          <w:lang w:val="sr-Latn-CS"/>
        </w:rPr>
        <w:t xml:space="preserve"> </w:t>
      </w: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>.</w:t>
      </w:r>
    </w:p>
    <w:p w:rsidR="00662DA8" w:rsidRPr="00EB3B89" w:rsidRDefault="009129D1" w:rsidP="006113DE">
      <w:pPr>
        <w:numPr>
          <w:ilvl w:val="0"/>
          <w:numId w:val="2"/>
        </w:numPr>
        <w:jc w:val="both"/>
        <w:rPr>
          <w:lang w:val="sr-Latn-CS"/>
        </w:rPr>
      </w:pPr>
      <w:r>
        <w:rPr>
          <w:lang w:val="sr-Latn-CS"/>
        </w:rPr>
        <w:t>Управа</w:t>
      </w:r>
      <w:r w:rsidR="001E02D6">
        <w:rPr>
          <w:lang w:val="sr-Latn-CS"/>
        </w:rPr>
        <w:t xml:space="preserve"> </w:t>
      </w:r>
      <w:r>
        <w:rPr>
          <w:lang w:val="sr-Latn-CS"/>
        </w:rPr>
        <w:t>АД</w:t>
      </w:r>
      <w:r w:rsidR="00F42695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F42695">
        <w:rPr>
          <w:lang w:val="sr-Latn-CS"/>
        </w:rPr>
        <w:t xml:space="preserve">“ </w:t>
      </w:r>
      <w:r>
        <w:rPr>
          <w:lang w:val="sr-Latn-CS"/>
        </w:rPr>
        <w:t>Бијељина</w:t>
      </w:r>
      <w:r w:rsidR="004C3389" w:rsidRPr="00EB3B89">
        <w:rPr>
          <w:lang w:val="sr-Latn-CS"/>
        </w:rPr>
        <w:t>,</w:t>
      </w:r>
      <w:r w:rsidR="00364B09" w:rsidRPr="00EB3B89">
        <w:rPr>
          <w:lang w:val="sr-Latn-CS"/>
        </w:rPr>
        <w:t xml:space="preserve"> </w:t>
      </w:r>
      <w:r>
        <w:rPr>
          <w:lang w:val="sr-Latn-CS"/>
        </w:rPr>
        <w:t>израђује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надгледа</w:t>
      </w:r>
      <w:r w:rsidR="00770AF9" w:rsidRPr="00EB3B89">
        <w:rPr>
          <w:lang w:val="sr-Latn-CS"/>
        </w:rPr>
        <w:t xml:space="preserve"> </w:t>
      </w:r>
      <w:r>
        <w:rPr>
          <w:lang w:val="sr-Latn-CS"/>
        </w:rPr>
        <w:t>реализацију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складу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Међународним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рачуноводственим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стандардима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прописима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рачуноводственим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ревизијским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стандардима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РС</w:t>
      </w:r>
      <w:r w:rsidR="00662DA8" w:rsidRPr="00EB3B89">
        <w:rPr>
          <w:lang w:val="sr-Latn-CS"/>
        </w:rPr>
        <w:t>.</w:t>
      </w:r>
    </w:p>
    <w:p w:rsidR="00690F29" w:rsidRPr="00EB3B89" w:rsidRDefault="009129D1" w:rsidP="00257C93">
      <w:pPr>
        <w:ind w:firstLine="720"/>
        <w:jc w:val="both"/>
        <w:rPr>
          <w:lang w:val="sr-Latn-CS"/>
        </w:rPr>
      </w:pP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доноси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Скупштина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акционара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приједлог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Надзорног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одбора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након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усвајања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доставља</w:t>
      </w:r>
      <w:r w:rsidR="00662DA8" w:rsidRPr="00EB3B89">
        <w:rPr>
          <w:lang w:val="sr-Latn-CS"/>
        </w:rPr>
        <w:t>:</w:t>
      </w:r>
    </w:p>
    <w:p w:rsidR="00690F29" w:rsidRPr="00DF305E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Министарству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просторно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уређење</w:t>
      </w:r>
      <w:r w:rsidR="00662DA8" w:rsidRPr="00DF305E">
        <w:rPr>
          <w:lang w:val="sr-Latn-CS"/>
        </w:rPr>
        <w:t xml:space="preserve">, </w:t>
      </w:r>
      <w:r>
        <w:rPr>
          <w:lang w:val="sr-Latn-CS"/>
        </w:rPr>
        <w:t>грађевинарство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екологију</w:t>
      </w:r>
      <w:r w:rsidR="00D03508" w:rsidRPr="00DF305E">
        <w:rPr>
          <w:lang w:val="sr-Latn-CS"/>
        </w:rPr>
        <w:t xml:space="preserve"> </w:t>
      </w:r>
      <w:r>
        <w:rPr>
          <w:lang w:val="sr-Latn-CS"/>
        </w:rPr>
        <w:t>РС</w:t>
      </w:r>
      <w:r w:rsidR="00D03508" w:rsidRPr="00DF305E">
        <w:rPr>
          <w:lang w:val="sr-Latn-CS"/>
        </w:rPr>
        <w:t xml:space="preserve"> (</w:t>
      </w:r>
      <w:r>
        <w:rPr>
          <w:lang w:val="sr-Latn-CS"/>
        </w:rPr>
        <w:t>доставља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директор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Друштва</w:t>
      </w:r>
      <w:r w:rsidR="00662DA8" w:rsidRPr="00DF305E">
        <w:rPr>
          <w:lang w:val="sr-Latn-CS"/>
        </w:rPr>
        <w:t xml:space="preserve">) </w:t>
      </w:r>
      <w:r>
        <w:rPr>
          <w:lang w:val="sr-Latn-CS"/>
        </w:rPr>
        <w:t>и</w:t>
      </w:r>
    </w:p>
    <w:p w:rsidR="00662DA8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Главном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ревизору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јавног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сектора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РС</w:t>
      </w:r>
      <w:r w:rsidR="00662DA8" w:rsidRPr="00DF305E">
        <w:rPr>
          <w:lang w:val="sr-Latn-CS"/>
        </w:rPr>
        <w:t xml:space="preserve"> (</w:t>
      </w:r>
      <w:r>
        <w:rPr>
          <w:lang w:val="sr-Latn-CS"/>
        </w:rPr>
        <w:t>доставља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директор</w:t>
      </w:r>
      <w:r w:rsidR="00662DA8" w:rsidRPr="00DF305E">
        <w:rPr>
          <w:lang w:val="sr-Latn-CS"/>
        </w:rPr>
        <w:t xml:space="preserve"> </w:t>
      </w:r>
      <w:r>
        <w:rPr>
          <w:lang w:val="sr-Latn-CS"/>
        </w:rPr>
        <w:t>одјељења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за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интерну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ревизију</w:t>
      </w:r>
      <w:r w:rsidR="001E02D6" w:rsidRPr="00DF305E">
        <w:rPr>
          <w:lang w:val="sr-Latn-CS"/>
        </w:rPr>
        <w:t xml:space="preserve"> </w:t>
      </w:r>
      <w:r>
        <w:rPr>
          <w:lang w:val="sr-Latn-CS"/>
        </w:rPr>
        <w:t>Друштва</w:t>
      </w:r>
      <w:r w:rsidR="00662DA8" w:rsidRPr="00DF305E">
        <w:rPr>
          <w:lang w:val="sr-Latn-CS"/>
        </w:rPr>
        <w:t>)</w:t>
      </w:r>
    </w:p>
    <w:p w:rsidR="00662DA8" w:rsidRPr="00CD2423" w:rsidRDefault="009129D1" w:rsidP="001E02D6">
      <w:pPr>
        <w:pStyle w:val="Heading1"/>
        <w:rPr>
          <w:rFonts w:ascii="Times New Roman" w:hAnsi="Times New Roman"/>
          <w:sz w:val="24"/>
          <w:szCs w:val="24"/>
          <w:lang w:val="sr-Latn-CS"/>
        </w:rPr>
      </w:pPr>
      <w:bookmarkStart w:id="4" w:name="_Toc351725958"/>
      <w:bookmarkStart w:id="5" w:name="_Toc153538038"/>
      <w:r>
        <w:rPr>
          <w:rFonts w:ascii="Times New Roman" w:hAnsi="Times New Roman"/>
          <w:sz w:val="24"/>
          <w:szCs w:val="24"/>
          <w:lang w:val="sr-Latn-CS"/>
        </w:rPr>
        <w:lastRenderedPageBreak/>
        <w:t>III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57C93" w:rsidRPr="00CD2423">
        <w:rPr>
          <w:rFonts w:ascii="Times New Roman" w:hAnsi="Times New Roman"/>
          <w:sz w:val="24"/>
          <w:szCs w:val="24"/>
          <w:lang w:val="sr-Latn-CS"/>
        </w:rPr>
        <w:t>–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НОРМАТИВНО</w:t>
      </w:r>
      <w:r w:rsidR="00257C93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>-</w:t>
      </w:r>
      <w:r w:rsidR="00257C93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ПРАВНА</w:t>
      </w:r>
      <w:r w:rsidR="00662DA8" w:rsidRPr="00CD242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ДЈЕЛАТНОСТ</w:t>
      </w:r>
      <w:bookmarkEnd w:id="4"/>
      <w:bookmarkEnd w:id="5"/>
    </w:p>
    <w:p w:rsidR="00257C93" w:rsidRPr="00CD2423" w:rsidRDefault="00257C93" w:rsidP="00CD2423">
      <w:pPr>
        <w:pStyle w:val="NoSpacing"/>
        <w:rPr>
          <w:sz w:val="16"/>
          <w:szCs w:val="16"/>
        </w:rPr>
      </w:pPr>
    </w:p>
    <w:p w:rsidR="00662DA8" w:rsidRPr="00EB3B89" w:rsidRDefault="009129D1" w:rsidP="00257C93">
      <w:pPr>
        <w:ind w:firstLine="720"/>
        <w:jc w:val="both"/>
        <w:rPr>
          <w:lang w:val="sr-Latn-CS"/>
        </w:rPr>
      </w:pPr>
      <w:r>
        <w:rPr>
          <w:lang w:val="sr-Latn-CS"/>
        </w:rPr>
        <w:t>Поред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постојећих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нормативних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аката</w:t>
      </w:r>
      <w:r w:rsidR="003600B3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планском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периоду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донијеће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сљедећи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то</w:t>
      </w:r>
      <w:r w:rsidR="00662DA8" w:rsidRPr="00EB3B89">
        <w:rPr>
          <w:lang w:val="sr-Latn-CS"/>
        </w:rPr>
        <w:t>: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Годишња</w:t>
      </w:r>
      <w:r w:rsidR="00257C93">
        <w:rPr>
          <w:lang w:val="sr-Latn-CS"/>
        </w:rPr>
        <w:t xml:space="preserve"> </w:t>
      </w:r>
      <w:r>
        <w:rPr>
          <w:lang w:val="sr-Latn-CS"/>
        </w:rPr>
        <w:t>студија</w:t>
      </w:r>
      <w:r w:rsidR="00257C93">
        <w:rPr>
          <w:lang w:val="sr-Latn-CS"/>
        </w:rPr>
        <w:t xml:space="preserve"> </w:t>
      </w:r>
      <w:r>
        <w:rPr>
          <w:lang w:val="sr-Latn-CS"/>
        </w:rPr>
        <w:t>ризика</w:t>
      </w:r>
      <w:r w:rsidR="00257C93">
        <w:rPr>
          <w:lang w:val="sr-Latn-CS"/>
        </w:rPr>
        <w:t xml:space="preserve"> </w:t>
      </w:r>
      <w:r>
        <w:rPr>
          <w:lang w:val="sr-Latn-CS"/>
        </w:rPr>
        <w:t>и</w:t>
      </w:r>
      <w:r w:rsidR="00257C93">
        <w:rPr>
          <w:lang w:val="sr-Latn-CS"/>
        </w:rPr>
        <w:t xml:space="preserve"> </w:t>
      </w: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рада</w:t>
      </w:r>
      <w:r w:rsidR="00257C93">
        <w:rPr>
          <w:lang w:val="sr-Latn-CS"/>
        </w:rPr>
        <w:t xml:space="preserve"> </w:t>
      </w:r>
      <w:r>
        <w:rPr>
          <w:lang w:val="sr-Latn-CS"/>
        </w:rPr>
        <w:t>интерне</w:t>
      </w:r>
      <w:r w:rsidR="00257C93">
        <w:rPr>
          <w:lang w:val="sr-Latn-CS"/>
        </w:rPr>
        <w:t xml:space="preserve"> </w:t>
      </w:r>
      <w:r>
        <w:rPr>
          <w:lang w:val="sr-Latn-CS"/>
        </w:rPr>
        <w:t>ревизије</w:t>
      </w:r>
      <w:r w:rsidR="00662DA8" w:rsidRPr="00EB3B89">
        <w:rPr>
          <w:lang w:val="sr-Latn-CS"/>
        </w:rPr>
        <w:t xml:space="preserve"> (</w:t>
      </w:r>
      <w:r>
        <w:rPr>
          <w:lang w:val="sr-Latn-CS"/>
        </w:rPr>
        <w:t>доноси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сваку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планску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662DA8" w:rsidRPr="00EB3B89">
        <w:rPr>
          <w:lang w:val="sr-Latn-CS"/>
        </w:rPr>
        <w:t>);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Програм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животне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средине</w:t>
      </w:r>
      <w:r w:rsidR="00662DA8" w:rsidRPr="00EB3B89">
        <w:rPr>
          <w:lang w:val="sr-Latn-CS"/>
        </w:rPr>
        <w:t xml:space="preserve"> (</w:t>
      </w:r>
      <w:r>
        <w:rPr>
          <w:lang w:val="sr-Latn-CS"/>
        </w:rPr>
        <w:t>доноси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сваку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662DA8" w:rsidRPr="00EB3B89">
        <w:rPr>
          <w:lang w:val="sr-Latn-CS"/>
        </w:rPr>
        <w:t>);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Програм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обуке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провјере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обучености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области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пожара</w:t>
      </w:r>
      <w:r w:rsidR="00662DA8" w:rsidRPr="00EB3B89">
        <w:rPr>
          <w:lang w:val="sr-Latn-CS"/>
        </w:rPr>
        <w:t xml:space="preserve"> (</w:t>
      </w:r>
      <w:r>
        <w:rPr>
          <w:lang w:val="sr-Latn-CS"/>
        </w:rPr>
        <w:t>доноси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сваку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662DA8" w:rsidRPr="00EB3B89">
        <w:rPr>
          <w:lang w:val="sr-Latn-CS"/>
        </w:rPr>
        <w:t>);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План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набавке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извори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финансирања</w:t>
      </w:r>
      <w:r w:rsidR="00662DA8" w:rsidRPr="00EB3B89">
        <w:rPr>
          <w:lang w:val="sr-Latn-CS"/>
        </w:rPr>
        <w:t xml:space="preserve"> (</w:t>
      </w:r>
      <w:r>
        <w:rPr>
          <w:lang w:val="sr-Latn-CS"/>
        </w:rPr>
        <w:t>доноси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сваку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пословну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662DA8" w:rsidRPr="00EB3B89">
        <w:rPr>
          <w:lang w:val="sr-Latn-CS"/>
        </w:rPr>
        <w:t>);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Упутство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условима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начину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спровођења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физичког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обезбјеђења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објеката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662DA8" w:rsidRPr="00EB3B89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662DA8" w:rsidRPr="00EB3B89">
        <w:rPr>
          <w:lang w:val="sr-Latn-CS"/>
        </w:rPr>
        <w:t>“</w:t>
      </w:r>
      <w:r w:rsidR="00257C93">
        <w:rPr>
          <w:lang w:val="sr-Latn-CS"/>
        </w:rPr>
        <w:t xml:space="preserve"> </w:t>
      </w:r>
      <w:r>
        <w:rPr>
          <w:lang w:val="sr-Latn-CS"/>
        </w:rPr>
        <w:t>Бијељина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Употребне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дозволе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атести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објекте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машине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уређаје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опрему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алат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које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издају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овлаштени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органи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организације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прописаним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роковима</w:t>
      </w:r>
      <w:r w:rsidR="00662DA8" w:rsidRPr="00EB3B89">
        <w:rPr>
          <w:lang w:val="sr-Latn-CS"/>
        </w:rPr>
        <w:t>.</w:t>
      </w:r>
    </w:p>
    <w:p w:rsidR="005F13D5" w:rsidRDefault="009129D1" w:rsidP="00CD2423">
      <w:pPr>
        <w:pStyle w:val="Heading1"/>
        <w:ind w:left="567" w:hanging="567"/>
        <w:rPr>
          <w:rFonts w:ascii="Times New Roman" w:hAnsi="Times New Roman"/>
          <w:sz w:val="24"/>
          <w:szCs w:val="24"/>
          <w:lang w:val="sr-Cyrl-BA"/>
        </w:rPr>
      </w:pPr>
      <w:bookmarkStart w:id="6" w:name="_Toc351725959"/>
      <w:bookmarkStart w:id="7" w:name="_Toc153538039"/>
      <w:r>
        <w:rPr>
          <w:rFonts w:ascii="Times New Roman" w:hAnsi="Times New Roman"/>
          <w:sz w:val="24"/>
          <w:szCs w:val="24"/>
          <w:lang w:val="sr-Latn-CS"/>
        </w:rPr>
        <w:t>IV</w:t>
      </w:r>
      <w:r w:rsidR="005F13D5" w:rsidRPr="00CD2423">
        <w:rPr>
          <w:rFonts w:ascii="Times New Roman" w:hAnsi="Times New Roman"/>
          <w:sz w:val="24"/>
          <w:szCs w:val="24"/>
          <w:lang w:val="sr-Latn-CS"/>
        </w:rPr>
        <w:t xml:space="preserve"> – </w:t>
      </w:r>
      <w:r w:rsidRPr="00E6649B">
        <w:rPr>
          <w:rFonts w:ascii="Times New Roman" w:hAnsi="Times New Roman"/>
          <w:sz w:val="24"/>
          <w:szCs w:val="24"/>
          <w:lang w:val="sr-Latn-CS"/>
        </w:rPr>
        <w:t>ПОПУНА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СИСТЕМАТИЗАЦИЈЕ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6649B">
        <w:rPr>
          <w:rFonts w:ascii="Times New Roman" w:hAnsi="Times New Roman"/>
          <w:sz w:val="24"/>
          <w:szCs w:val="24"/>
          <w:lang w:val="sr-Latn-CS"/>
        </w:rPr>
        <w:t>ЗАШТИТА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СТАНДАРДА</w:t>
      </w:r>
      <w:r w:rsidR="00257C93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ЗАПОСЛЕНИХ</w:t>
      </w:r>
      <w:r w:rsidR="00CB5BFD">
        <w:rPr>
          <w:rFonts w:ascii="Times New Roman" w:hAnsi="Times New Roman"/>
          <w:sz w:val="24"/>
          <w:szCs w:val="24"/>
          <w:lang w:val="sr-Latn-CS"/>
        </w:rPr>
        <w:t>,</w:t>
      </w:r>
      <w:r w:rsidR="00CB5BF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ОБУКА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И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ОСПОСОБЉАВАЊЕ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ЗАПОСЛЕНИХ</w:t>
      </w:r>
      <w:r w:rsidR="005F13D5" w:rsidRPr="00E6649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6649B">
        <w:rPr>
          <w:rFonts w:ascii="Times New Roman" w:hAnsi="Times New Roman"/>
          <w:sz w:val="24"/>
          <w:szCs w:val="24"/>
          <w:lang w:val="sr-Latn-CS"/>
        </w:rPr>
        <w:t>РАДНИКА</w:t>
      </w:r>
      <w:bookmarkEnd w:id="6"/>
      <w:bookmarkEnd w:id="7"/>
    </w:p>
    <w:p w:rsidR="001A280B" w:rsidRDefault="001A280B" w:rsidP="001A280B">
      <w:pPr>
        <w:rPr>
          <w:lang w:val="sr-Cyrl-BA"/>
        </w:rPr>
      </w:pPr>
    </w:p>
    <w:p w:rsidR="001A280B" w:rsidRPr="00EB3B89" w:rsidRDefault="001A280B" w:rsidP="001A280B">
      <w:pPr>
        <w:ind w:firstLine="720"/>
        <w:jc w:val="both"/>
        <w:rPr>
          <w:lang w:val="sr-Latn-CS"/>
        </w:rPr>
      </w:pPr>
      <w:r>
        <w:rPr>
          <w:lang w:val="sr-Latn-CS"/>
        </w:rPr>
        <w:t>Управа Друштва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ће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водити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рачуна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заштити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побољшању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животног</w:t>
      </w:r>
      <w:r w:rsidRPr="00EB3B89">
        <w:rPr>
          <w:lang w:val="sr-Latn-CS"/>
        </w:rPr>
        <w:t xml:space="preserve"> </w:t>
      </w:r>
      <w:r>
        <w:rPr>
          <w:lang w:val="sr-Latn-CS"/>
        </w:rPr>
        <w:t>стандарда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радника</w:t>
      </w:r>
      <w:r w:rsidRPr="00EB3B89">
        <w:rPr>
          <w:lang w:val="sr-Latn-CS"/>
        </w:rPr>
        <w:t xml:space="preserve">, </w:t>
      </w:r>
      <w:r>
        <w:rPr>
          <w:lang w:val="sr-Latn-CS"/>
        </w:rPr>
        <w:t>кроз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организовану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исхрану</w:t>
      </w:r>
      <w:r w:rsidRPr="00EB3B89">
        <w:rPr>
          <w:lang w:val="sr-Latn-CS"/>
        </w:rPr>
        <w:t xml:space="preserve">, </w:t>
      </w:r>
      <w:r>
        <w:rPr>
          <w:lang w:val="sr-Latn-CS"/>
        </w:rPr>
        <w:t>исплату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регреса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годишњи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одмор</w:t>
      </w:r>
      <w:r w:rsidRPr="00EB3B89">
        <w:rPr>
          <w:lang w:val="sr-Latn-CS"/>
        </w:rPr>
        <w:t xml:space="preserve">, </w:t>
      </w:r>
      <w:r>
        <w:rPr>
          <w:lang w:val="sr-Latn-CS"/>
        </w:rPr>
        <w:t>колективно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осигурање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радника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Pr="00EB3B89">
        <w:rPr>
          <w:lang w:val="sr-Latn-CS"/>
        </w:rPr>
        <w:t xml:space="preserve"> </w:t>
      </w:r>
      <w:r>
        <w:rPr>
          <w:lang w:val="sr-Latn-CS"/>
        </w:rPr>
        <w:t>несреће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послу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друго</w:t>
      </w:r>
      <w:r w:rsidRPr="00EB3B89">
        <w:rPr>
          <w:lang w:val="sr-Latn-CS"/>
        </w:rPr>
        <w:t>.</w:t>
      </w:r>
    </w:p>
    <w:p w:rsidR="001A280B" w:rsidRDefault="001A280B" w:rsidP="001A280B">
      <w:pPr>
        <w:ind w:firstLine="720"/>
        <w:jc w:val="both"/>
        <w:rPr>
          <w:lang w:val="sr-Latn-CS"/>
        </w:rPr>
      </w:pPr>
      <w:r>
        <w:rPr>
          <w:lang w:val="sr-Latn-CS"/>
        </w:rPr>
        <w:t>Радницима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ће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омогућити</w:t>
      </w:r>
      <w:r w:rsidRPr="00EB3B89">
        <w:rPr>
          <w:lang w:val="sr-Latn-CS"/>
        </w:rPr>
        <w:t xml:space="preserve"> </w:t>
      </w:r>
      <w:r>
        <w:rPr>
          <w:lang w:val="sr-Latn-CS"/>
        </w:rPr>
        <w:t>стицање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потребне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лиценце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рад</w:t>
      </w:r>
      <w:r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складу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важећим</w:t>
      </w:r>
      <w:r w:rsidRPr="00EB3B89">
        <w:rPr>
          <w:lang w:val="sr-Latn-CS"/>
        </w:rPr>
        <w:t xml:space="preserve"> </w:t>
      </w:r>
      <w:r>
        <w:rPr>
          <w:lang w:val="sr-Latn-CS"/>
        </w:rPr>
        <w:t>прописима.</w:t>
      </w:r>
      <w:r w:rsidRPr="00EB3B89">
        <w:rPr>
          <w:lang w:val="sr-Latn-CS"/>
        </w:rPr>
        <w:t xml:space="preserve"> </w:t>
      </w:r>
      <w:r>
        <w:rPr>
          <w:lang w:val="sr-Latn-CS"/>
        </w:rPr>
        <w:t>Уколико</w:t>
      </w:r>
      <w:r w:rsidRPr="00EB3B89">
        <w:rPr>
          <w:lang w:val="sr-Latn-CS"/>
        </w:rPr>
        <w:t xml:space="preserve"> </w:t>
      </w:r>
      <w:r>
        <w:rPr>
          <w:lang w:val="sr-Latn-CS"/>
        </w:rPr>
        <w:t>су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радници дужни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полагати</w:t>
      </w:r>
      <w:r w:rsidRPr="00EB3B89">
        <w:rPr>
          <w:lang w:val="sr-Latn-CS"/>
        </w:rPr>
        <w:t xml:space="preserve"> </w:t>
      </w:r>
      <w:r>
        <w:rPr>
          <w:lang w:val="sr-Latn-CS"/>
        </w:rPr>
        <w:t>стручне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испите</w:t>
      </w:r>
      <w:r w:rsidRPr="00EB3B89">
        <w:rPr>
          <w:lang w:val="sr-Latn-CS"/>
        </w:rPr>
        <w:t>,</w:t>
      </w:r>
      <w:r>
        <w:rPr>
          <w:lang w:val="sr-Latn-CS"/>
        </w:rPr>
        <w:t xml:space="preserve"> који су неопходни за процес рада,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омогућиће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одговарајућа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стручна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литература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плаћена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обука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оспособљавање</w:t>
      </w:r>
      <w:r w:rsidRPr="00EB3B89">
        <w:rPr>
          <w:lang w:val="sr-Latn-CS"/>
        </w:rPr>
        <w:t xml:space="preserve">. </w:t>
      </w:r>
    </w:p>
    <w:p w:rsidR="00335899" w:rsidRDefault="00E03EFB" w:rsidP="00E03EFB">
      <w:pPr>
        <w:jc w:val="both"/>
        <w:rPr>
          <w:lang w:val="sr-Cyrl-BA"/>
        </w:rPr>
      </w:pPr>
      <w:r>
        <w:rPr>
          <w:lang/>
        </w:rPr>
        <w:tab/>
      </w:r>
      <w:r w:rsidR="00335899">
        <w:rPr>
          <w:lang w:val="sr-Cyrl-BA"/>
        </w:rPr>
        <w:t>У табели 1</w:t>
      </w:r>
      <w:r w:rsidR="00684C64">
        <w:rPr>
          <w:lang w:val="sr-Cyrl-BA"/>
        </w:rPr>
        <w:t>, приказано је</w:t>
      </w:r>
      <w:r w:rsidR="00335899">
        <w:rPr>
          <w:lang w:val="sr-Cyrl-BA"/>
        </w:rPr>
        <w:t xml:space="preserve"> постојеће стање </w:t>
      </w:r>
      <w:r w:rsidR="00684C64">
        <w:rPr>
          <w:lang w:val="sr-Cyrl-BA"/>
        </w:rPr>
        <w:t>расположивих људских ресурса, као највриједнијих средстава организације и пројекција потреба људских ресурса у пословној 202</w:t>
      </w:r>
      <w:r w:rsidR="00F4614A">
        <w:rPr>
          <w:lang w:val="sr-Cyrl-BA"/>
        </w:rPr>
        <w:t>5</w:t>
      </w:r>
      <w:r w:rsidR="00684C64">
        <w:rPr>
          <w:lang w:val="sr-Cyrl-BA"/>
        </w:rPr>
        <w:t>. години.</w:t>
      </w:r>
    </w:p>
    <w:p w:rsidR="00684C64" w:rsidRPr="00162EB3" w:rsidRDefault="00E6649B" w:rsidP="00E03EFB">
      <w:pPr>
        <w:jc w:val="both"/>
        <w:rPr>
          <w:lang w:val="sr-Cyrl-BA"/>
        </w:rPr>
      </w:pPr>
      <w:r>
        <w:rPr>
          <w:lang w:val="sr-Cyrl-BA"/>
        </w:rPr>
        <w:tab/>
      </w:r>
      <w:r w:rsidRPr="00162EB3">
        <w:rPr>
          <w:lang w:val="sr-Cyrl-BA"/>
        </w:rPr>
        <w:t xml:space="preserve">На дан </w:t>
      </w:r>
      <w:r w:rsidR="005B7476" w:rsidRPr="00162EB3">
        <w:rPr>
          <w:lang w:val="sr-Cyrl-BA"/>
        </w:rPr>
        <w:t>13</w:t>
      </w:r>
      <w:r w:rsidR="00684C64" w:rsidRPr="00162EB3">
        <w:rPr>
          <w:lang w:val="sr-Cyrl-BA"/>
        </w:rPr>
        <w:t>.12.202</w:t>
      </w:r>
      <w:r w:rsidR="00162EB3">
        <w:t>4</w:t>
      </w:r>
      <w:r w:rsidR="00684C64" w:rsidRPr="00162EB3">
        <w:rPr>
          <w:lang w:val="sr-Cyrl-BA"/>
        </w:rPr>
        <w:t xml:space="preserve">. године у а.д. „Комуналац“ Бијељина запослено је </w:t>
      </w:r>
      <w:r w:rsidRPr="00162EB3">
        <w:rPr>
          <w:lang w:val="sr-Cyrl-BA"/>
        </w:rPr>
        <w:t>1</w:t>
      </w:r>
      <w:r w:rsidR="00162EB3">
        <w:t>90</w:t>
      </w:r>
      <w:r w:rsidR="00684C64" w:rsidRPr="00162EB3">
        <w:rPr>
          <w:lang w:val="sr-Cyrl-BA"/>
        </w:rPr>
        <w:t xml:space="preserve"> радника, док је планом за 202</w:t>
      </w:r>
      <w:r w:rsidR="001A35A3">
        <w:t>5</w:t>
      </w:r>
      <w:r w:rsidR="00684C64" w:rsidRPr="00162EB3">
        <w:rPr>
          <w:lang w:val="sr-Cyrl-BA"/>
        </w:rPr>
        <w:t>. годи</w:t>
      </w:r>
      <w:r w:rsidR="001A35A3">
        <w:rPr>
          <w:lang w:val="sr-Cyrl-BA"/>
        </w:rPr>
        <w:t>ну пројектовано пословање са 1</w:t>
      </w:r>
      <w:r w:rsidR="001A35A3">
        <w:t>92</w:t>
      </w:r>
      <w:r w:rsidR="00684C64" w:rsidRPr="00162EB3">
        <w:rPr>
          <w:lang w:val="sr-Cyrl-BA"/>
        </w:rPr>
        <w:t xml:space="preserve"> запослен</w:t>
      </w:r>
      <w:r w:rsidR="001A35A3">
        <w:rPr>
          <w:lang w:val="sr-Cyrl-BA"/>
        </w:rPr>
        <w:t>а</w:t>
      </w:r>
      <w:r w:rsidR="00684C64" w:rsidRPr="00162EB3">
        <w:rPr>
          <w:lang w:val="sr-Cyrl-BA"/>
        </w:rPr>
        <w:t>, уз одређену реорганизацију постојећих кадрова.</w:t>
      </w:r>
    </w:p>
    <w:p w:rsidR="001A280B" w:rsidRPr="00162EB3" w:rsidRDefault="00684C64" w:rsidP="001A280B">
      <w:pPr>
        <w:ind w:firstLine="720"/>
        <w:jc w:val="both"/>
        <w:rPr>
          <w:lang w:val="sr-Latn-CS"/>
        </w:rPr>
      </w:pPr>
      <w:r w:rsidRPr="00162EB3">
        <w:rPr>
          <w:lang w:val="sr-Cyrl-BA"/>
        </w:rPr>
        <w:t>Планом запошљавања за 202</w:t>
      </w:r>
      <w:r w:rsidR="001A35A3">
        <w:rPr>
          <w:lang w:val="sr-Cyrl-BA"/>
        </w:rPr>
        <w:t>5</w:t>
      </w:r>
      <w:r w:rsidRPr="00162EB3">
        <w:rPr>
          <w:lang w:val="sr-Cyrl-BA"/>
        </w:rPr>
        <w:t>. годину</w:t>
      </w:r>
      <w:r w:rsidRPr="00162EB3">
        <w:rPr>
          <w:lang/>
        </w:rPr>
        <w:t>,</w:t>
      </w:r>
      <w:r w:rsidRPr="00162EB3">
        <w:rPr>
          <w:lang w:val="sr-Cyrl-BA"/>
        </w:rPr>
        <w:t xml:space="preserve"> предвиђено </w:t>
      </w:r>
      <w:r w:rsidR="001A35A3">
        <w:rPr>
          <w:lang w:val="sr-Cyrl-BA"/>
        </w:rPr>
        <w:t xml:space="preserve">је </w:t>
      </w:r>
      <w:r w:rsidRPr="00162EB3">
        <w:rPr>
          <w:lang w:val="sr-Cyrl-BA"/>
        </w:rPr>
        <w:t xml:space="preserve">запошљавање </w:t>
      </w:r>
      <w:r w:rsidR="001A35A3">
        <w:rPr>
          <w:lang w:val="sr-Cyrl-BA"/>
        </w:rPr>
        <w:t xml:space="preserve">два </w:t>
      </w:r>
      <w:r w:rsidRPr="00162EB3">
        <w:rPr>
          <w:lang w:val="sr-Cyrl-BA"/>
        </w:rPr>
        <w:t>приправника са високом стр</w:t>
      </w:r>
      <w:r w:rsidR="000204E5" w:rsidRPr="00162EB3">
        <w:rPr>
          <w:lang w:val="sr-Cyrl-BA"/>
        </w:rPr>
        <w:t>учном спремом</w:t>
      </w:r>
      <w:r w:rsidR="00401F24">
        <w:rPr>
          <w:lang w:val="sr-Cyrl-BA"/>
        </w:rPr>
        <w:t xml:space="preserve"> и два приправника са средњом стручном спремом</w:t>
      </w:r>
      <w:r w:rsidR="005B7476" w:rsidRPr="00162EB3">
        <w:rPr>
          <w:lang w:val="sr-Cyrl-BA"/>
        </w:rPr>
        <w:t xml:space="preserve">, уколико буде расписан „Програм подршке запошљавању младих са ВСС </w:t>
      </w:r>
      <w:r w:rsidR="00401F24">
        <w:rPr>
          <w:lang w:val="sr-Cyrl-BA"/>
        </w:rPr>
        <w:t xml:space="preserve">и ССС </w:t>
      </w:r>
      <w:r w:rsidR="005B7476" w:rsidRPr="00162EB3">
        <w:rPr>
          <w:lang w:val="sr-Cyrl-BA"/>
        </w:rPr>
        <w:t>у статусу приправника“, који на основу одлуке доноси Влада Републике Српске</w:t>
      </w:r>
      <w:r w:rsidRPr="00162EB3">
        <w:rPr>
          <w:lang w:val="sr-Cyrl-BA"/>
        </w:rPr>
        <w:t>.</w:t>
      </w:r>
    </w:p>
    <w:p w:rsidR="001A280B" w:rsidRDefault="001A280B" w:rsidP="001A280B">
      <w:pPr>
        <w:ind w:firstLine="720"/>
        <w:jc w:val="both"/>
        <w:rPr>
          <w:lang w:val="sr-Latn-CS"/>
        </w:rPr>
      </w:pPr>
    </w:p>
    <w:p w:rsidR="001A280B" w:rsidRDefault="001A280B" w:rsidP="001A280B">
      <w:pPr>
        <w:ind w:firstLine="720"/>
        <w:jc w:val="both"/>
        <w:rPr>
          <w:lang w:val="sr-Latn-CS"/>
        </w:rPr>
      </w:pPr>
    </w:p>
    <w:p w:rsidR="001A280B" w:rsidRDefault="001A280B" w:rsidP="001A280B">
      <w:pPr>
        <w:ind w:firstLine="720"/>
        <w:jc w:val="both"/>
        <w:rPr>
          <w:lang w:val="sr-Latn-CS"/>
        </w:rPr>
      </w:pPr>
    </w:p>
    <w:p w:rsidR="001A280B" w:rsidRDefault="001A280B" w:rsidP="001A280B">
      <w:pPr>
        <w:ind w:firstLine="720"/>
        <w:jc w:val="both"/>
        <w:rPr>
          <w:lang w:val="sr-Latn-CS"/>
        </w:rPr>
      </w:pPr>
    </w:p>
    <w:p w:rsidR="001A280B" w:rsidRDefault="001A280B" w:rsidP="001A280B">
      <w:pPr>
        <w:ind w:firstLine="720"/>
        <w:jc w:val="both"/>
        <w:rPr>
          <w:lang w:val="sr-Latn-CS"/>
        </w:rPr>
      </w:pPr>
    </w:p>
    <w:p w:rsidR="001A280B" w:rsidRDefault="001A280B" w:rsidP="001A280B">
      <w:pPr>
        <w:ind w:firstLine="720"/>
        <w:jc w:val="both"/>
        <w:rPr>
          <w:lang w:val="sr-Latn-CS"/>
        </w:rPr>
      </w:pPr>
    </w:p>
    <w:tbl>
      <w:tblPr>
        <w:tblpPr w:leftFromText="180" w:rightFromText="180" w:bottomFromText="200" w:vertAnchor="page" w:horzAnchor="margin" w:tblpXSpec="center" w:tblpY="1021"/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11"/>
        <w:gridCol w:w="25"/>
        <w:gridCol w:w="2232"/>
        <w:gridCol w:w="709"/>
        <w:gridCol w:w="850"/>
        <w:gridCol w:w="709"/>
        <w:gridCol w:w="709"/>
        <w:gridCol w:w="567"/>
        <w:gridCol w:w="567"/>
        <w:gridCol w:w="567"/>
        <w:gridCol w:w="992"/>
      </w:tblGrid>
      <w:tr w:rsidR="00615BB8" w:rsidTr="005B7476">
        <w:trPr>
          <w:cantSplit/>
          <w:trHeight w:val="564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ind w:left="3153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lastRenderedPageBreak/>
              <w:t xml:space="preserve">                               КВАЛИФИКАЦИЈА</w:t>
            </w:r>
          </w:p>
          <w:p w:rsidR="00615BB8" w:rsidRDefault="00615BB8" w:rsidP="00615BB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>ОРГАНИЗАЦИОНА ШЕМА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Latn-BA" w:eastAsia="ar-SA"/>
              </w:rPr>
            </w:pPr>
            <w:r>
              <w:rPr>
                <w:b/>
                <w:sz w:val="20"/>
                <w:szCs w:val="20"/>
                <w:lang w:val="sr-Latn-B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5BB8" w:rsidRDefault="00615BB8" w:rsidP="00615BB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CS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>Укупно</w:t>
            </w:r>
          </w:p>
          <w:p w:rsidR="00615BB8" w:rsidRDefault="00615BB8" w:rsidP="00615BB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>радника</w:t>
            </w:r>
          </w:p>
        </w:tc>
      </w:tr>
      <w:tr w:rsidR="00AE7C28" w:rsidTr="005B7476">
        <w:trPr>
          <w:cantSplit/>
          <w:trHeight w:val="165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Latn-BA"/>
              </w:rPr>
              <w:t>I – У</w:t>
            </w:r>
            <w:r>
              <w:rPr>
                <w:b/>
                <w:sz w:val="20"/>
                <w:szCs w:val="20"/>
                <w:lang w:val="sr-Cyrl-CS"/>
              </w:rPr>
              <w:t>права Друштва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>3</w:t>
            </w:r>
          </w:p>
        </w:tc>
      </w:tr>
      <w:tr w:rsidR="00AE7C28" w:rsidTr="005B7476">
        <w:trPr>
          <w:cantSplit/>
          <w:trHeight w:val="182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3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</w:rPr>
            </w:pPr>
          </w:p>
        </w:tc>
      </w:tr>
      <w:tr w:rsidR="00615BB8" w:rsidTr="005B7476">
        <w:trPr>
          <w:cantSplit/>
          <w:trHeight w:val="20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Latn-BA" w:eastAsia="ar-SA"/>
              </w:rPr>
            </w:pPr>
            <w:r w:rsidRPr="00E01BD1">
              <w:rPr>
                <w:b/>
                <w:sz w:val="20"/>
                <w:szCs w:val="20"/>
                <w:lang w:val="sr-Latn-BA"/>
              </w:rPr>
              <w:t>II – СЕКТОР ЗА ЕКОНОМСКО – ФИНАН</w:t>
            </w:r>
            <w:r w:rsidRPr="00E01BD1">
              <w:rPr>
                <w:b/>
                <w:sz w:val="20"/>
                <w:szCs w:val="20"/>
                <w:lang w:val="sr-Cyrl-CS"/>
              </w:rPr>
              <w:t xml:space="preserve">СИЈСКЕ, </w:t>
            </w:r>
            <w:r w:rsidRPr="00E01BD1">
              <w:rPr>
                <w:b/>
                <w:sz w:val="20"/>
                <w:szCs w:val="20"/>
                <w:lang w:val="sr-Latn-BA"/>
              </w:rPr>
              <w:t>ПРАВНЕ И ОПШТЕ ПОСЛОВЕ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Latn-BA" w:eastAsia="ar-SA"/>
              </w:rPr>
            </w:pPr>
            <w:r w:rsidRPr="00E01BD1">
              <w:rPr>
                <w:b/>
                <w:sz w:val="20"/>
                <w:szCs w:val="20"/>
                <w:lang w:val="sr-Latn-B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i/>
                <w:sz w:val="20"/>
                <w:szCs w:val="20"/>
                <w:lang w:val="sr-Cyrl-CS"/>
              </w:rPr>
            </w:pPr>
            <w:r w:rsidRPr="00E01BD1">
              <w:rPr>
                <w:b/>
                <w:i/>
                <w:sz w:val="20"/>
                <w:szCs w:val="20"/>
                <w:lang w:val="sr-Cyrl-CS"/>
              </w:rPr>
              <w:t>Укупно</w:t>
            </w:r>
          </w:p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</w:rPr>
            </w:pPr>
            <w:r w:rsidRPr="00E01BD1">
              <w:rPr>
                <w:b/>
                <w:i/>
                <w:sz w:val="20"/>
                <w:szCs w:val="20"/>
                <w:lang w:val="sr-Cyrl-CS"/>
              </w:rPr>
              <w:t>радника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napToGrid w:val="0"/>
              <w:spacing w:line="276" w:lineRule="auto"/>
              <w:ind w:right="-142"/>
              <w:rPr>
                <w:b/>
                <w:i/>
                <w:sz w:val="20"/>
                <w:szCs w:val="20"/>
                <w:lang w:val="sr-Cyrl-CS" w:eastAsia="ar-SA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 xml:space="preserve">1. </w:t>
            </w:r>
            <w:r>
              <w:rPr>
                <w:b/>
                <w:i/>
                <w:sz w:val="20"/>
                <w:szCs w:val="20"/>
                <w:lang w:val="sr-Latn-BA"/>
              </w:rPr>
              <w:t xml:space="preserve">Служба </w:t>
            </w:r>
            <w:r>
              <w:rPr>
                <w:b/>
                <w:i/>
                <w:sz w:val="20"/>
                <w:szCs w:val="20"/>
                <w:lang w:val="sr-Cyrl-CS"/>
              </w:rPr>
              <w:t>з</w:t>
            </w:r>
            <w:r>
              <w:rPr>
                <w:b/>
                <w:i/>
                <w:sz w:val="20"/>
                <w:szCs w:val="20"/>
                <w:lang w:val="sr-Latn-BA"/>
              </w:rPr>
              <w:t xml:space="preserve">а финансијске и </w:t>
            </w:r>
            <w:r>
              <w:rPr>
                <w:b/>
                <w:i/>
                <w:sz w:val="20"/>
                <w:szCs w:val="20"/>
                <w:lang w:val="sr-Cyrl-CS"/>
              </w:rPr>
              <w:t xml:space="preserve">  </w:t>
            </w:r>
          </w:p>
          <w:p w:rsidR="00AE7C28" w:rsidRDefault="00AE7C28" w:rsidP="00AE7C28">
            <w:pPr>
              <w:snapToGrid w:val="0"/>
              <w:spacing w:line="276" w:lineRule="auto"/>
              <w:ind w:right="-142"/>
              <w:rPr>
                <w:sz w:val="20"/>
                <w:szCs w:val="20"/>
                <w:lang w:val="sr-Cyrl-CS" w:eastAsia="ar-SA"/>
              </w:rPr>
            </w:pPr>
            <w:r>
              <w:rPr>
                <w:b/>
                <w:i/>
                <w:sz w:val="20"/>
                <w:szCs w:val="20"/>
                <w:lang w:val="sr-Cyrl-CS"/>
              </w:rPr>
              <w:t xml:space="preserve">     </w:t>
            </w:r>
            <w:r>
              <w:rPr>
                <w:b/>
                <w:i/>
                <w:sz w:val="20"/>
                <w:szCs w:val="20"/>
                <w:lang w:val="sr-Latn-BA"/>
              </w:rPr>
              <w:t>рачуноводствене послове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33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sz w:val="20"/>
                <w:szCs w:val="20"/>
                <w:lang w:val="sr-Cyrl-CS" w:eastAsia="ar-S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37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sz w:val="20"/>
                <w:szCs w:val="20"/>
                <w:lang w:val="sr-Cyrl-CS" w:eastAsia="ar-S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4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Cyrl-BA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 xml:space="preserve">2. Служба за правне,кадровске    </w:t>
            </w:r>
          </w:p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Latn-B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 xml:space="preserve">     и опште послове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9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Latn-B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8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Latn-B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-1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Cyrl-BA"/>
              </w:rPr>
            </w:pPr>
          </w:p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 xml:space="preserve">3. </w:t>
            </w:r>
            <w:r>
              <w:rPr>
                <w:b/>
                <w:i/>
                <w:sz w:val="20"/>
                <w:szCs w:val="20"/>
                <w:lang w:val="sr-Latn-BA"/>
              </w:rPr>
              <w:t>Служба исхране радника</w:t>
            </w:r>
          </w:p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i/>
                <w:sz w:val="20"/>
                <w:szCs w:val="20"/>
                <w:lang w:val="sr-Cyrl-B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6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B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6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B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615BB8" w:rsidTr="005B7476">
        <w:trPr>
          <w:cantSplit/>
          <w:trHeight w:val="477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Latn-BA"/>
              </w:rPr>
              <w:t>III –</w:t>
            </w:r>
            <w:r w:rsidRPr="00615BB8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615BB8">
              <w:rPr>
                <w:b/>
                <w:sz w:val="20"/>
                <w:szCs w:val="20"/>
                <w:lang w:val="sr-Latn-BA"/>
              </w:rPr>
              <w:t>ПРОИЗВОДНО</w:t>
            </w:r>
            <w:r w:rsidRPr="00615BB8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615BB8">
              <w:rPr>
                <w:b/>
                <w:sz w:val="20"/>
                <w:szCs w:val="20"/>
                <w:lang w:val="sr-Latn-BA"/>
              </w:rPr>
              <w:t>–ТЕХНО</w:t>
            </w:r>
            <w:r w:rsidRPr="00615BB8">
              <w:rPr>
                <w:b/>
                <w:sz w:val="20"/>
                <w:szCs w:val="20"/>
                <w:lang w:val="sr-Cyrl-CS"/>
              </w:rPr>
              <w:t>ЛОШКИ СЕКТОР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Latn-BA" w:eastAsia="ar-SA"/>
              </w:rPr>
            </w:pPr>
            <w:r w:rsidRPr="00615BB8">
              <w:rPr>
                <w:b/>
                <w:sz w:val="20"/>
                <w:szCs w:val="20"/>
                <w:lang w:val="sr-Latn-B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i/>
                <w:sz w:val="20"/>
                <w:szCs w:val="20"/>
                <w:lang w:val="sr-Cyrl-CS"/>
              </w:rPr>
            </w:pPr>
            <w:r w:rsidRPr="00615BB8">
              <w:rPr>
                <w:b/>
                <w:i/>
                <w:sz w:val="20"/>
                <w:szCs w:val="20"/>
                <w:lang w:val="sr-Cyrl-CS"/>
              </w:rPr>
              <w:t>Укупно</w:t>
            </w:r>
          </w:p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</w:rPr>
            </w:pPr>
            <w:r w:rsidRPr="00615BB8">
              <w:rPr>
                <w:b/>
                <w:i/>
                <w:sz w:val="20"/>
                <w:szCs w:val="20"/>
                <w:lang w:val="sr-Cyrl-CS"/>
              </w:rPr>
              <w:t>радника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Cyrl-CS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>1.Служба ком</w:t>
            </w:r>
            <w:r>
              <w:rPr>
                <w:b/>
                <w:i/>
                <w:sz w:val="20"/>
                <w:szCs w:val="20"/>
                <w:lang w:val="sr-Cyrl-CS"/>
              </w:rPr>
              <w:t xml:space="preserve">уналних </w:t>
            </w:r>
            <w:r>
              <w:rPr>
                <w:b/>
                <w:i/>
                <w:sz w:val="20"/>
                <w:szCs w:val="20"/>
                <w:lang w:val="sr-Latn-BA"/>
              </w:rPr>
              <w:t xml:space="preserve"> услуга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101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CS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100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CS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-1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>2.Служба за организа</w:t>
            </w:r>
            <w:r>
              <w:rPr>
                <w:b/>
                <w:i/>
                <w:sz w:val="20"/>
                <w:szCs w:val="20"/>
                <w:lang/>
              </w:rPr>
              <w:t>цију</w:t>
            </w:r>
          </w:p>
          <w:p w:rsidR="00AE7C28" w:rsidRDefault="00AE7C28" w:rsidP="00AE7C28">
            <w:pPr>
              <w:suppressAutoHyphens/>
              <w:spacing w:line="276" w:lineRule="auto"/>
              <w:rPr>
                <w:b/>
                <w:i/>
                <w:sz w:val="20"/>
                <w:szCs w:val="20"/>
                <w:lang w:val="sr-Latn-BA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 xml:space="preserve">    пијачних услуга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12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Latn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11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Latn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-1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Latn-BA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 xml:space="preserve">3.Служба одржавања         </w:t>
            </w:r>
          </w:p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i/>
                <w:sz w:val="20"/>
                <w:szCs w:val="20"/>
                <w:lang w:val="sr-Cyrl-CS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 xml:space="preserve">   градског зеленила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pacing w:line="276" w:lineRule="auto"/>
              <w:jc w:val="center"/>
              <w:rPr>
                <w:bCs/>
                <w:sz w:val="20"/>
                <w:szCs w:val="20"/>
                <w:lang w:val="sr-Cyrl-BA" w:eastAsia="ar-SA"/>
              </w:rPr>
            </w:pPr>
            <w:r>
              <w:rPr>
                <w:bCs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22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CS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pacing w:line="276" w:lineRule="auto"/>
              <w:jc w:val="center"/>
              <w:rPr>
                <w:bCs/>
                <w:sz w:val="20"/>
                <w:szCs w:val="20"/>
                <w:lang w:val="sr-Cyrl-BA"/>
              </w:rPr>
            </w:pPr>
            <w:r>
              <w:rPr>
                <w:bCs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22</w:t>
            </w:r>
          </w:p>
        </w:tc>
      </w:tr>
      <w:tr w:rsidR="00AE7C28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rPr>
                <w:b/>
                <w:i/>
                <w:sz w:val="20"/>
                <w:szCs w:val="20"/>
                <w:lang w:val="sr-Cyrl-CS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  <w:lang w:val="sr-Cyrl-BA"/>
              </w:rPr>
            </w:pPr>
            <w:r>
              <w:rPr>
                <w:b/>
                <w:bCs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8" w:rsidRDefault="00AE7C28" w:rsidP="00AE7C28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615BB8" w:rsidTr="005B7476">
        <w:trPr>
          <w:cantSplit/>
          <w:trHeight w:val="20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Latn-BA"/>
              </w:rPr>
              <w:t>IV – ОДЈЕЉЕЊЕ ЗА ИНТЕРНУ РЕВИЗИЈУ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Latn-BA" w:eastAsia="ar-SA"/>
              </w:rPr>
            </w:pPr>
            <w:r w:rsidRPr="00615BB8">
              <w:rPr>
                <w:b/>
                <w:sz w:val="20"/>
                <w:szCs w:val="20"/>
                <w:lang w:val="sr-Latn-B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615BB8">
              <w:rPr>
                <w:b/>
                <w:sz w:val="20"/>
                <w:szCs w:val="20"/>
                <w:lang w:val="sr-Cyrl-CS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615BB8" w:rsidRDefault="00615BB8" w:rsidP="00615BB8">
            <w:pPr>
              <w:pStyle w:val="NoSpacing"/>
              <w:rPr>
                <w:b/>
                <w:i/>
                <w:sz w:val="20"/>
                <w:szCs w:val="20"/>
                <w:lang w:val="sr-Cyrl-CS"/>
              </w:rPr>
            </w:pPr>
            <w:r w:rsidRPr="00615BB8">
              <w:rPr>
                <w:b/>
                <w:i/>
                <w:sz w:val="20"/>
                <w:szCs w:val="20"/>
                <w:lang w:val="sr-Cyrl-CS"/>
              </w:rPr>
              <w:t>Укупно</w:t>
            </w:r>
          </w:p>
          <w:p w:rsidR="00615BB8" w:rsidRPr="00615BB8" w:rsidRDefault="00615BB8" w:rsidP="00615BB8">
            <w:pPr>
              <w:pStyle w:val="NoSpacing"/>
              <w:rPr>
                <w:b/>
                <w:sz w:val="20"/>
                <w:szCs w:val="20"/>
              </w:rPr>
            </w:pPr>
            <w:r w:rsidRPr="00615BB8">
              <w:rPr>
                <w:b/>
                <w:i/>
                <w:sz w:val="20"/>
                <w:szCs w:val="20"/>
                <w:lang w:val="sr-Cyrl-CS"/>
              </w:rPr>
              <w:t>радника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sr-Cyrl-BA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>1.</w:t>
            </w:r>
            <w:r>
              <w:rPr>
                <w:b/>
                <w:i/>
                <w:sz w:val="20"/>
                <w:szCs w:val="20"/>
                <w:lang w:val="sr-Cyrl-BA"/>
              </w:rPr>
              <w:t>Интерни ревизор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615BB8" w:rsidTr="005B7476">
        <w:trPr>
          <w:cantSplit/>
          <w:trHeight w:val="315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BA" w:eastAsia="ar-SA"/>
              </w:rPr>
            </w:pPr>
            <w:r w:rsidRPr="00E01BD1">
              <w:rPr>
                <w:b/>
                <w:sz w:val="20"/>
                <w:szCs w:val="20"/>
                <w:lang w:val="sr-Latn-BA"/>
              </w:rPr>
              <w:t xml:space="preserve">V – </w:t>
            </w:r>
            <w:r w:rsidRPr="00E01BD1">
              <w:rPr>
                <w:b/>
                <w:sz w:val="20"/>
                <w:szCs w:val="20"/>
                <w:lang w:val="sr-Cyrl-BA"/>
              </w:rPr>
              <w:t>ПРИПРАВНИЦИ И ВОЛОНТЕРИ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Latn-BA" w:eastAsia="ar-SA"/>
              </w:rPr>
            </w:pPr>
            <w:r w:rsidRPr="00E01BD1">
              <w:rPr>
                <w:b/>
                <w:sz w:val="20"/>
                <w:szCs w:val="20"/>
                <w:lang w:val="sr-Latn-B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i/>
                <w:sz w:val="20"/>
                <w:szCs w:val="20"/>
                <w:lang w:val="sr-Cyrl-CS"/>
              </w:rPr>
            </w:pPr>
            <w:r w:rsidRPr="00E01BD1">
              <w:rPr>
                <w:b/>
                <w:i/>
                <w:sz w:val="20"/>
                <w:szCs w:val="20"/>
                <w:lang w:val="sr-Cyrl-CS"/>
              </w:rPr>
              <w:t>Укупно</w:t>
            </w:r>
          </w:p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</w:rPr>
            </w:pPr>
            <w:r w:rsidRPr="00E01BD1">
              <w:rPr>
                <w:b/>
                <w:i/>
                <w:sz w:val="20"/>
                <w:szCs w:val="20"/>
                <w:lang w:val="sr-Cyrl-CS"/>
              </w:rPr>
              <w:t>радника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sr-Cyrl-BA" w:eastAsia="ar-SA"/>
              </w:rPr>
            </w:pPr>
            <w:r>
              <w:rPr>
                <w:b/>
                <w:i/>
                <w:sz w:val="20"/>
                <w:szCs w:val="20"/>
                <w:lang w:val="sr-Latn-BA"/>
              </w:rPr>
              <w:t>1.</w:t>
            </w:r>
            <w:r>
              <w:rPr>
                <w:b/>
                <w:i/>
                <w:sz w:val="20"/>
                <w:szCs w:val="20"/>
                <w:lang w:val="sr-Cyrl-BA"/>
              </w:rPr>
              <w:t>Приправници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3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4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1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napToGrid w:val="0"/>
              <w:spacing w:line="276" w:lineRule="auto"/>
              <w:rPr>
                <w:b/>
                <w:i/>
                <w:sz w:val="20"/>
                <w:szCs w:val="20"/>
                <w:lang w:val="sr-Cyrl-BA" w:eastAsia="ar-S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2</w:t>
            </w:r>
            <w:r>
              <w:rPr>
                <w:b/>
                <w:i/>
                <w:sz w:val="20"/>
                <w:szCs w:val="20"/>
                <w:lang w:val="sr-Latn-BA"/>
              </w:rPr>
              <w:t>.</w:t>
            </w:r>
            <w:r>
              <w:rPr>
                <w:b/>
                <w:i/>
                <w:sz w:val="20"/>
                <w:szCs w:val="20"/>
                <w:lang w:val="sr-Cyrl-BA"/>
              </w:rPr>
              <w:t>Волонтери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pacing w:line="276" w:lineRule="auto"/>
              <w:jc w:val="center"/>
              <w:rPr>
                <w:bCs/>
                <w:sz w:val="20"/>
                <w:szCs w:val="20"/>
                <w:lang w:val="en-GB" w:eastAsia="ar-SA"/>
              </w:rPr>
            </w:pPr>
            <w:r>
              <w:rPr>
                <w:bCs/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en-GB" w:eastAsia="ar-SA"/>
              </w:rPr>
            </w:pPr>
            <w:r>
              <w:rPr>
                <w:sz w:val="20"/>
                <w:szCs w:val="20"/>
                <w:lang w:val="en-GB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b/>
                <w:i/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pacing w:line="276" w:lineRule="auto"/>
              <w:jc w:val="center"/>
              <w:rPr>
                <w:bCs/>
                <w:sz w:val="20"/>
                <w:szCs w:val="20"/>
                <w:lang w:val="sr-Cyrl-BA"/>
              </w:rPr>
            </w:pPr>
            <w:r>
              <w:rPr>
                <w:bCs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b/>
                <w:i/>
                <w:sz w:val="20"/>
                <w:szCs w:val="20"/>
                <w:lang w:val="sr-Cyrl-BA" w:eastAsia="ar-SA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pacing w:line="276" w:lineRule="auto"/>
              <w:jc w:val="center"/>
              <w:rPr>
                <w:b/>
                <w:bCs/>
                <w:sz w:val="20"/>
                <w:szCs w:val="20"/>
                <w:lang w:val="sr-Cyrl-BA"/>
              </w:rPr>
            </w:pPr>
            <w:r>
              <w:rPr>
                <w:b/>
                <w:bCs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0</w:t>
            </w:r>
          </w:p>
        </w:tc>
      </w:tr>
      <w:tr w:rsidR="00615BB8" w:rsidTr="005B7476">
        <w:trPr>
          <w:cantSplit/>
          <w:trHeight w:val="20"/>
        </w:trPr>
        <w:tc>
          <w:tcPr>
            <w:tcW w:w="11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15BB8" w:rsidRPr="00615BB8" w:rsidRDefault="00615BB8" w:rsidP="00615BB8">
            <w:pPr>
              <w:spacing w:line="276" w:lineRule="auto"/>
              <w:jc w:val="center"/>
              <w:rPr>
                <w:i/>
                <w:sz w:val="4"/>
                <w:szCs w:val="4"/>
                <w:lang w:val="sr-Cyrl-CS"/>
              </w:rPr>
            </w:pPr>
          </w:p>
        </w:tc>
      </w:tr>
      <w:tr w:rsidR="00615BB8" w:rsidTr="005B7476">
        <w:trPr>
          <w:cantSplit/>
          <w:trHeight w:val="405"/>
        </w:trPr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/>
              </w:rPr>
            </w:pPr>
          </w:p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eastAsia="ar-SA"/>
              </w:rPr>
            </w:pPr>
            <w:r w:rsidRPr="00E01BD1">
              <w:rPr>
                <w:b/>
                <w:sz w:val="20"/>
                <w:szCs w:val="20"/>
                <w:lang/>
              </w:rPr>
              <w:t xml:space="preserve">               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B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BA" w:eastAsia="ar-SA"/>
              </w:rPr>
            </w:pPr>
            <w:r w:rsidRPr="00E01BD1">
              <w:rPr>
                <w:b/>
                <w:sz w:val="20"/>
                <w:szCs w:val="20"/>
                <w:lang w:val="sr-Cyrl-BA" w:eastAsia="ar-SA"/>
              </w:rPr>
              <w:t>ВСС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ВШС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ССС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ВКВ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sz w:val="20"/>
                <w:szCs w:val="20"/>
                <w:lang w:val="sr-Cyrl-CS" w:eastAsia="ar-SA"/>
              </w:rPr>
            </w:pPr>
            <w:r w:rsidRPr="00E01BD1">
              <w:rPr>
                <w:b/>
                <w:sz w:val="20"/>
                <w:szCs w:val="20"/>
                <w:lang w:val="sr-Cyrl-CS" w:eastAsia="ar-SA"/>
              </w:rPr>
              <w:t>НК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BB8" w:rsidRPr="00E01BD1" w:rsidRDefault="00615BB8" w:rsidP="00E01BD1">
            <w:pPr>
              <w:pStyle w:val="NoSpacing"/>
              <w:rPr>
                <w:b/>
                <w:i/>
                <w:sz w:val="20"/>
                <w:szCs w:val="20"/>
                <w:lang w:val="sr-Cyrl-CS"/>
              </w:rPr>
            </w:pPr>
            <w:r w:rsidRPr="00E01BD1">
              <w:rPr>
                <w:b/>
                <w:i/>
                <w:sz w:val="20"/>
                <w:szCs w:val="20"/>
                <w:lang w:val="sr-Cyrl-CS"/>
              </w:rPr>
              <w:t>Укупно радника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 xml:space="preserve">                УКУПНО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Стање 13.12.202</w:t>
            </w:r>
            <w:r>
              <w:rPr>
                <w:sz w:val="20"/>
                <w:szCs w:val="20"/>
                <w:lang w:eastAsia="ar-SA"/>
              </w:rPr>
              <w:t>4</w:t>
            </w:r>
            <w:r>
              <w:rPr>
                <w:sz w:val="20"/>
                <w:szCs w:val="20"/>
                <w:lang w:val="sr-Cyrl-BA" w:eastAsia="ar-SA"/>
              </w:rPr>
              <w:t>.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 w:eastAsia="ar-SA"/>
              </w:rPr>
            </w:pPr>
            <w:r>
              <w:rPr>
                <w:sz w:val="20"/>
                <w:szCs w:val="20"/>
                <w:lang w:val="sr-Cyrl-BA" w:eastAsia="ar-SA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190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  <w:lang w:val="sr-Cyrl-CS" w:eastAsia="ar-SA"/>
              </w:rPr>
            </w:pPr>
            <w:r>
              <w:rPr>
                <w:sz w:val="20"/>
                <w:szCs w:val="20"/>
                <w:lang w:val="sr-Cyrl-CS" w:eastAsia="ar-SA"/>
              </w:rPr>
              <w:t>План за 202</w:t>
            </w:r>
            <w:r>
              <w:rPr>
                <w:sz w:val="20"/>
                <w:szCs w:val="20"/>
                <w:lang w:eastAsia="ar-SA"/>
              </w:rPr>
              <w:t>5</w:t>
            </w:r>
            <w:r>
              <w:rPr>
                <w:sz w:val="20"/>
                <w:szCs w:val="20"/>
                <w:lang w:val="sr-Cyrl-CS" w:eastAsia="ar-SA"/>
              </w:rPr>
              <w:t>. годину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i/>
                <w:sz w:val="20"/>
                <w:szCs w:val="20"/>
                <w:lang w:val="sr-Cyrl-BA"/>
              </w:rPr>
            </w:pPr>
            <w:r>
              <w:rPr>
                <w:i/>
                <w:sz w:val="20"/>
                <w:szCs w:val="20"/>
                <w:lang w:val="sr-Cyrl-BA"/>
              </w:rPr>
              <w:t>192</w:t>
            </w:r>
          </w:p>
        </w:tc>
      </w:tr>
      <w:tr w:rsidR="00162EB3" w:rsidTr="005B7476">
        <w:trPr>
          <w:cantSplit/>
          <w:trHeight w:val="20"/>
        </w:trPr>
        <w:tc>
          <w:tcPr>
            <w:tcW w:w="3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rPr>
                <w:b/>
                <w:sz w:val="20"/>
                <w:szCs w:val="20"/>
                <w:lang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right="-142"/>
              <w:rPr>
                <w:b/>
                <w:sz w:val="20"/>
                <w:szCs w:val="20"/>
                <w:lang w:val="sr-Cyrl-BA" w:eastAsia="ar-SA"/>
              </w:rPr>
            </w:pPr>
            <w:r>
              <w:rPr>
                <w:b/>
                <w:sz w:val="20"/>
                <w:szCs w:val="20"/>
                <w:lang w:val="sr-Cyrl-CS" w:eastAsia="ar-SA"/>
              </w:rPr>
              <w:t xml:space="preserve">Разлика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ind w:left="-108" w:right="-108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EB3" w:rsidRDefault="00162EB3" w:rsidP="00162EB3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val="sr-Cyrl-BA"/>
              </w:rPr>
            </w:pPr>
            <w:r>
              <w:rPr>
                <w:b/>
                <w:i/>
                <w:sz w:val="20"/>
                <w:szCs w:val="20"/>
                <w:lang w:val="sr-Cyrl-BA"/>
              </w:rPr>
              <w:t>2</w:t>
            </w:r>
          </w:p>
        </w:tc>
      </w:tr>
    </w:tbl>
    <w:p w:rsidR="00335899" w:rsidRDefault="00335899" w:rsidP="00335899">
      <w:pPr>
        <w:jc w:val="both"/>
        <w:rPr>
          <w:bCs/>
          <w:i/>
          <w:color w:val="000000"/>
          <w:sz w:val="20"/>
          <w:szCs w:val="20"/>
          <w:lang w:val="sr-Cyrl-BA"/>
        </w:rPr>
      </w:pPr>
      <w:r>
        <w:rPr>
          <w:bCs/>
          <w:i/>
          <w:color w:val="000000"/>
          <w:sz w:val="20"/>
          <w:szCs w:val="20"/>
        </w:rPr>
        <w:t>Табела</w:t>
      </w:r>
      <w:r w:rsidRPr="00EC59F3">
        <w:rPr>
          <w:bCs/>
          <w:i/>
          <w:color w:val="000000"/>
          <w:sz w:val="20"/>
          <w:szCs w:val="20"/>
        </w:rPr>
        <w:t xml:space="preserve"> 1</w:t>
      </w:r>
      <w:r>
        <w:rPr>
          <w:bCs/>
          <w:i/>
          <w:color w:val="000000"/>
          <w:sz w:val="20"/>
          <w:szCs w:val="20"/>
        </w:rPr>
        <w:t xml:space="preserve"> – План </w:t>
      </w:r>
      <w:r>
        <w:rPr>
          <w:bCs/>
          <w:i/>
          <w:color w:val="000000"/>
          <w:sz w:val="20"/>
          <w:szCs w:val="20"/>
          <w:lang w:val="sr-Cyrl-BA"/>
        </w:rPr>
        <w:t>људских ресурса</w:t>
      </w:r>
    </w:p>
    <w:p w:rsidR="001A35A3" w:rsidRPr="00CB5BFD" w:rsidRDefault="00CB5BFD" w:rsidP="00CB5BFD">
      <w:pPr>
        <w:tabs>
          <w:tab w:val="left" w:pos="709"/>
        </w:tabs>
        <w:jc w:val="both"/>
        <w:rPr>
          <w:lang w:val="sr-Cyrl-BA"/>
        </w:rPr>
      </w:pPr>
      <w:r>
        <w:rPr>
          <w:b/>
          <w:lang w:val="sr-Cyrl-BA"/>
        </w:rPr>
        <w:lastRenderedPageBreak/>
        <w:tab/>
      </w:r>
      <w:r w:rsidRPr="00CB5BFD">
        <w:rPr>
          <w:lang w:val="sr-Cyrl-BA"/>
        </w:rPr>
        <w:t xml:space="preserve">На приједлог </w:t>
      </w:r>
      <w:r w:rsidR="009D7BA1">
        <w:rPr>
          <w:lang w:val="sr-Cyrl-BA"/>
        </w:rPr>
        <w:t xml:space="preserve">генералног </w:t>
      </w:r>
      <w:r w:rsidRPr="00CB5BFD">
        <w:rPr>
          <w:lang w:val="sr-Cyrl-BA"/>
        </w:rPr>
        <w:t>директора АД „Комуналац“ Бијељина, предложена је сљедећа реорганизација људских ресурса у 2025. години:</w:t>
      </w:r>
    </w:p>
    <w:p w:rsidR="001A35A3" w:rsidRPr="00D44F5F" w:rsidRDefault="001A35A3" w:rsidP="001A35A3">
      <w:pPr>
        <w:tabs>
          <w:tab w:val="left" w:pos="7335"/>
        </w:tabs>
        <w:rPr>
          <w:sz w:val="16"/>
          <w:szCs w:val="16"/>
          <w:lang w:val="sr-Cyrl-BA"/>
        </w:rPr>
      </w:pPr>
    </w:p>
    <w:p w:rsidR="001A35A3" w:rsidRDefault="001A35A3" w:rsidP="001A35A3">
      <w:pPr>
        <w:tabs>
          <w:tab w:val="left" w:pos="7335"/>
        </w:tabs>
        <w:jc w:val="both"/>
        <w:rPr>
          <w:lang w:val="sr-Cyrl-BA"/>
        </w:rPr>
      </w:pPr>
      <w:r w:rsidRPr="001A35A3">
        <w:rPr>
          <w:b/>
          <w:lang w:val="sr-Cyrl-BA"/>
        </w:rPr>
        <w:t>1)</w:t>
      </w:r>
      <w:r w:rsidRPr="001A35A3">
        <w:rPr>
          <w:b/>
        </w:rPr>
        <w:t xml:space="preserve"> у поглављу „II - СЕКТОР ЗА ЕКОНОМСКО</w:t>
      </w:r>
      <w:r w:rsidRPr="001A35A3">
        <w:rPr>
          <w:b/>
          <w:lang w:val="sr-Cyrl-BA"/>
        </w:rPr>
        <w:t xml:space="preserve"> </w:t>
      </w:r>
      <w:r w:rsidRPr="001A35A3">
        <w:rPr>
          <w:b/>
        </w:rPr>
        <w:t>-</w:t>
      </w:r>
      <w:r w:rsidRPr="001A35A3">
        <w:rPr>
          <w:b/>
          <w:lang w:val="sr-Cyrl-BA"/>
        </w:rPr>
        <w:t xml:space="preserve"> </w:t>
      </w:r>
      <w:r w:rsidRPr="001A35A3">
        <w:rPr>
          <w:b/>
        </w:rPr>
        <w:t>ФИНАНСИЈСКЕ, ПРАВНЕ И ОПШТЕ</w:t>
      </w:r>
      <w:r w:rsidR="00CB5BFD">
        <w:rPr>
          <w:b/>
          <w:lang w:val="sr-Cyrl-BA"/>
        </w:rPr>
        <w:t xml:space="preserve"> </w:t>
      </w:r>
      <w:r w:rsidRPr="001A35A3">
        <w:rPr>
          <w:b/>
        </w:rPr>
        <w:t>ПОСЛОВЕ“</w:t>
      </w:r>
      <w:r w:rsidRPr="001A35A3">
        <w:t xml:space="preserve"> </w:t>
      </w:r>
    </w:p>
    <w:p w:rsidR="00D44F5F" w:rsidRPr="00D44F5F" w:rsidRDefault="00D44F5F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1A35A3" w:rsidRPr="00D44F5F" w:rsidRDefault="00D44F5F" w:rsidP="00D44F5F">
      <w:pPr>
        <w:pStyle w:val="ListParagraph"/>
        <w:numPr>
          <w:ilvl w:val="0"/>
          <w:numId w:val="36"/>
        </w:numPr>
        <w:tabs>
          <w:tab w:val="left" w:pos="0"/>
        </w:tabs>
        <w:ind w:left="0" w:firstLine="709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>У</w:t>
      </w:r>
      <w:r w:rsidR="001A35A3" w:rsidRPr="00D44F5F">
        <w:rPr>
          <w:b/>
          <w:u w:val="none"/>
        </w:rPr>
        <w:t xml:space="preserve"> одјелу</w:t>
      </w:r>
      <w:r w:rsidR="001A35A3" w:rsidRPr="00D44F5F">
        <w:rPr>
          <w:i/>
          <w:iCs/>
          <w:u w:val="none"/>
        </w:rPr>
        <w:t xml:space="preserve"> </w:t>
      </w:r>
      <w:r w:rsidR="001A35A3" w:rsidRPr="00D44F5F">
        <w:rPr>
          <w:b/>
          <w:u w:val="none"/>
        </w:rPr>
        <w:t>„</w:t>
      </w:r>
      <w:r w:rsidR="001A35A3" w:rsidRPr="00D44F5F">
        <w:rPr>
          <w:b/>
          <w:i/>
          <w:u w:val="none"/>
        </w:rPr>
        <w:t>1</w:t>
      </w:r>
      <w:r w:rsidR="001A35A3" w:rsidRPr="00D44F5F">
        <w:rPr>
          <w:b/>
          <w:u w:val="none"/>
        </w:rPr>
        <w:t xml:space="preserve">. </w:t>
      </w:r>
      <w:r w:rsidR="001A35A3" w:rsidRPr="00D44F5F">
        <w:rPr>
          <w:b/>
          <w:i/>
          <w:iCs/>
          <w:u w:val="none"/>
        </w:rPr>
        <w:t>Служба за финансијске и рачуноводствене послове“</w:t>
      </w:r>
      <w:r w:rsidR="001A35A3" w:rsidRPr="00D44F5F">
        <w:rPr>
          <w:u w:val="none"/>
          <w:lang w:val="sr-Cyrl-BA"/>
        </w:rPr>
        <w:t xml:space="preserve"> у одјељку „Стање 13.12.2024. године“</w:t>
      </w:r>
      <w:r w:rsidR="001A35A3" w:rsidRPr="00D44F5F">
        <w:rPr>
          <w:u w:val="none"/>
        </w:rPr>
        <w:t>,</w:t>
      </w:r>
      <w:r w:rsidR="001A35A3" w:rsidRPr="00D44F5F">
        <w:rPr>
          <w:u w:val="none"/>
          <w:lang w:val="sr-Cyrl-BA"/>
        </w:rPr>
        <w:t xml:space="preserve"> </w:t>
      </w:r>
      <w:r w:rsidR="00CB5BFD" w:rsidRPr="00D44F5F">
        <w:rPr>
          <w:b/>
          <w:i/>
          <w:u w:val="none"/>
          <w:lang w:val="sr-Cyrl-BA"/>
        </w:rPr>
        <w:t>повећање броја</w:t>
      </w:r>
      <w:r w:rsidR="001A35A3" w:rsidRPr="00D44F5F">
        <w:rPr>
          <w:b/>
          <w:i/>
          <w:u w:val="none"/>
          <w:lang w:val="sr-Cyrl-BA"/>
        </w:rPr>
        <w:t xml:space="preserve"> радника са</w:t>
      </w:r>
      <w:r w:rsidR="00CB5BFD" w:rsidRPr="00D44F5F">
        <w:rPr>
          <w:b/>
          <w:i/>
          <w:u w:val="none"/>
          <w:lang w:val="sr-Cyrl-BA"/>
        </w:rPr>
        <w:t xml:space="preserve"> ВСС</w:t>
      </w:r>
      <w:r w:rsidR="001A35A3" w:rsidRPr="00D44F5F">
        <w:rPr>
          <w:u w:val="none"/>
          <w:lang w:val="sr-Cyrl-BA"/>
        </w:rPr>
        <w:t xml:space="preserve"> у односу</w:t>
      </w:r>
      <w:r w:rsidR="00CB5BFD" w:rsidRPr="00D44F5F">
        <w:rPr>
          <w:u w:val="none"/>
          <w:lang w:val="sr-Cyrl-BA"/>
        </w:rPr>
        <w:t xml:space="preserve"> на „План за 2025. годину“, настаје </w:t>
      </w:r>
      <w:r w:rsidR="001A35A3" w:rsidRPr="00D44F5F">
        <w:rPr>
          <w:u w:val="none"/>
          <w:lang w:val="sr-Cyrl-BA"/>
        </w:rPr>
        <w:t>из</w:t>
      </w:r>
      <w:r w:rsidR="001A35A3" w:rsidRPr="00D44F5F">
        <w:rPr>
          <w:u w:val="none"/>
        </w:rPr>
        <w:t xml:space="preserve"> сљедећ</w:t>
      </w:r>
      <w:r w:rsidR="001A35A3" w:rsidRPr="00D44F5F">
        <w:rPr>
          <w:u w:val="none"/>
          <w:lang w:val="sr-Cyrl-BA"/>
        </w:rPr>
        <w:t>их разлога</w:t>
      </w:r>
      <w:r w:rsidR="001A35A3" w:rsidRPr="00D44F5F">
        <w:rPr>
          <w:u w:val="none"/>
        </w:rPr>
        <w:t>:</w:t>
      </w:r>
    </w:p>
    <w:p w:rsidR="001A35A3" w:rsidRPr="001A35A3" w:rsidRDefault="00CB5BFD" w:rsidP="00CB5BFD">
      <w:pPr>
        <w:tabs>
          <w:tab w:val="left" w:pos="709"/>
        </w:tabs>
        <w:jc w:val="both"/>
        <w:rPr>
          <w:lang w:val="sr-Cyrl-BA"/>
        </w:rPr>
      </w:pPr>
      <w:r>
        <w:rPr>
          <w:b/>
          <w:lang w:val="sr-Cyrl-BA"/>
        </w:rPr>
        <w:tab/>
      </w:r>
      <w:r w:rsidR="001A35A3" w:rsidRPr="001A35A3">
        <w:rPr>
          <w:b/>
          <w:lang w:val="sr-Cyrl-BA"/>
        </w:rPr>
        <w:t>а)</w:t>
      </w:r>
      <w:r w:rsidR="001A35A3" w:rsidRPr="001A35A3">
        <w:rPr>
          <w:lang w:val="sr-Cyrl-BA"/>
        </w:rPr>
        <w:t xml:space="preserve"> Један радник на радном мјесту ВСС, запослен на радно мјесто „Виши стручни сарадник за</w:t>
      </w:r>
      <w:r>
        <w:rPr>
          <w:lang w:val="sr-Cyrl-BA"/>
        </w:rPr>
        <w:t xml:space="preserve"> п</w:t>
      </w:r>
      <w:r w:rsidR="001A35A3" w:rsidRPr="001A35A3">
        <w:rPr>
          <w:lang w:val="sr-Cyrl-BA"/>
        </w:rPr>
        <w:t>ослове јавне набавке и економске послове“ при Служби за финансијске и рачуноводствене</w:t>
      </w:r>
      <w:r>
        <w:rPr>
          <w:lang w:val="sr-Cyrl-BA"/>
        </w:rPr>
        <w:t xml:space="preserve"> </w:t>
      </w:r>
      <w:r w:rsidR="001A35A3" w:rsidRPr="001A35A3">
        <w:rPr>
          <w:lang w:val="sr-Cyrl-BA"/>
        </w:rPr>
        <w:t>послове, тренутно се налази на неплаћеном одсуству које траје до 31.01.2025. године и</w:t>
      </w:r>
      <w:r>
        <w:rPr>
          <w:lang w:val="sr-Cyrl-BA"/>
        </w:rPr>
        <w:t xml:space="preserve"> </w:t>
      </w:r>
      <w:r w:rsidR="001A35A3" w:rsidRPr="001A35A3">
        <w:rPr>
          <w:lang w:val="sr-Cyrl-BA"/>
        </w:rPr>
        <w:t>предвиђе</w:t>
      </w:r>
      <w:r w:rsidR="00D44F5F">
        <w:rPr>
          <w:lang w:val="sr-Cyrl-BA"/>
        </w:rPr>
        <w:t>н је у Плану за 2025. годину;</w:t>
      </w:r>
    </w:p>
    <w:p w:rsidR="001A35A3" w:rsidRPr="001A35A3" w:rsidRDefault="001A35A3" w:rsidP="00CB5BFD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б)</w:t>
      </w:r>
      <w:r w:rsidRPr="001A35A3">
        <w:rPr>
          <w:lang w:val="sr-Cyrl-BA"/>
        </w:rPr>
        <w:t xml:space="preserve"> Један радник на радном мјесту ВШС, запослен на радно мјесто „Сарадник за материјално</w:t>
      </w:r>
      <w:r w:rsidR="00CB5BFD">
        <w:rPr>
          <w:lang w:val="sr-Cyrl-BA"/>
        </w:rPr>
        <w:t xml:space="preserve"> </w:t>
      </w:r>
      <w:r w:rsidRPr="001A35A3">
        <w:rPr>
          <w:lang w:val="sr-Cyrl-BA"/>
        </w:rPr>
        <w:t>књиговодство, стална средства и праћење уговора у јавним набавкама“ при Служби за финансијске и рачуноводствене послове, предвиђен у Плану за 2025. годину за радно мјесто</w:t>
      </w:r>
      <w:r w:rsidR="00CB5BFD">
        <w:rPr>
          <w:lang w:val="sr-Cyrl-BA"/>
        </w:rPr>
        <w:t xml:space="preserve"> </w:t>
      </w:r>
      <w:r w:rsidR="00D44F5F">
        <w:rPr>
          <w:lang w:val="sr-Cyrl-BA"/>
        </w:rPr>
        <w:t>са ВСС;</w:t>
      </w:r>
    </w:p>
    <w:p w:rsidR="001A35A3" w:rsidRPr="001A35A3" w:rsidRDefault="00D44F5F" w:rsidP="00D44F5F">
      <w:pPr>
        <w:tabs>
          <w:tab w:val="left" w:pos="709"/>
        </w:tabs>
        <w:jc w:val="both"/>
        <w:rPr>
          <w:lang w:val="sr-Cyrl-BA"/>
        </w:rPr>
      </w:pPr>
      <w:r>
        <w:rPr>
          <w:b/>
          <w:lang w:val="sr-Cyrl-BA"/>
        </w:rPr>
        <w:tab/>
      </w:r>
      <w:r w:rsidR="001A35A3" w:rsidRPr="001A35A3">
        <w:rPr>
          <w:b/>
          <w:lang w:val="sr-Cyrl-BA"/>
        </w:rPr>
        <w:t>в)</w:t>
      </w:r>
      <w:r w:rsidR="001A35A3" w:rsidRPr="001A35A3">
        <w:rPr>
          <w:lang w:val="sr-Cyrl-BA"/>
        </w:rPr>
        <w:t xml:space="preserve"> Један радник на радном мјесту ВШС, запослен на радно мјесто „Виши сарадник за кадровске и послове органа управљања“ при Служби за правне, кадровске и опште послове“ предвиђен у Плану за 2025. годину за радно мјесто са ВСС, при Служби за финансијске и</w:t>
      </w:r>
      <w:r w:rsidR="00CB5BFD">
        <w:rPr>
          <w:lang w:val="sr-Cyrl-BA"/>
        </w:rPr>
        <w:t xml:space="preserve"> </w:t>
      </w:r>
      <w:r w:rsidR="001A35A3" w:rsidRPr="001A35A3">
        <w:rPr>
          <w:lang w:val="sr-Cyrl-BA"/>
        </w:rPr>
        <w:t>рачуноводствене послове.</w:t>
      </w:r>
    </w:p>
    <w:p w:rsidR="001A35A3" w:rsidRPr="00D44F5F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D44F5F" w:rsidRPr="00D44F5F" w:rsidRDefault="00D44F5F" w:rsidP="00D44F5F">
      <w:pPr>
        <w:pStyle w:val="ListParagraph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 xml:space="preserve">  У</w:t>
      </w:r>
      <w:r w:rsidRPr="00D44F5F">
        <w:rPr>
          <w:b/>
          <w:u w:val="none"/>
        </w:rPr>
        <w:t xml:space="preserve"> одјелу</w:t>
      </w:r>
      <w:r w:rsidRPr="00D44F5F">
        <w:rPr>
          <w:i/>
          <w:iCs/>
          <w:u w:val="none"/>
        </w:rPr>
        <w:t xml:space="preserve"> </w:t>
      </w:r>
      <w:r w:rsidRPr="00D44F5F">
        <w:rPr>
          <w:b/>
          <w:u w:val="none"/>
        </w:rPr>
        <w:t>„</w:t>
      </w:r>
      <w:r w:rsidRPr="00D44F5F">
        <w:rPr>
          <w:b/>
          <w:i/>
          <w:u w:val="none"/>
        </w:rPr>
        <w:t>1</w:t>
      </w:r>
      <w:r w:rsidRPr="00D44F5F">
        <w:rPr>
          <w:b/>
          <w:u w:val="none"/>
        </w:rPr>
        <w:t xml:space="preserve">. </w:t>
      </w:r>
      <w:r w:rsidRPr="00D44F5F">
        <w:rPr>
          <w:b/>
          <w:i/>
          <w:iCs/>
          <w:u w:val="none"/>
        </w:rPr>
        <w:t>Служба за финансијске и рачуноводствене послове“</w:t>
      </w:r>
      <w:r w:rsidRPr="00D44F5F">
        <w:rPr>
          <w:u w:val="none"/>
          <w:lang w:val="sr-Cyrl-BA"/>
        </w:rPr>
        <w:t xml:space="preserve"> у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смањење 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са ВСС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D44F5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 xml:space="preserve">г) </w:t>
      </w:r>
      <w:r w:rsidRPr="001A35A3">
        <w:rPr>
          <w:lang w:val="sr-Cyrl-BA"/>
        </w:rPr>
        <w:t>Један радник из тачке б), на радном мјесту ВШС, запослен на радно мјесто „Сарадник за материјално књиговодство, стална средства и праћење уговора у јавним набавкама“ при</w:t>
      </w:r>
      <w:r w:rsidR="00D44F5F">
        <w:rPr>
          <w:lang w:val="sr-Cyrl-BA"/>
        </w:rPr>
        <w:t xml:space="preserve"> </w:t>
      </w:r>
      <w:r w:rsidRPr="001A35A3">
        <w:rPr>
          <w:lang w:val="sr-Cyrl-BA"/>
        </w:rPr>
        <w:t>Служби за финансијске и рачуноводствене послове, предвиђен у Плану за 2025. годину за</w:t>
      </w:r>
      <w:r w:rsidR="00D44F5F">
        <w:rPr>
          <w:lang w:val="sr-Cyrl-BA"/>
        </w:rPr>
        <w:t xml:space="preserve"> </w:t>
      </w:r>
      <w:r w:rsidRPr="001A35A3">
        <w:rPr>
          <w:lang w:val="sr-Cyrl-BA"/>
        </w:rPr>
        <w:t>радно мјесто са ВСС.</w:t>
      </w:r>
    </w:p>
    <w:p w:rsidR="001A35A3" w:rsidRPr="00D44F5F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D44F5F" w:rsidRPr="00D44F5F" w:rsidRDefault="00D44F5F" w:rsidP="00D44F5F">
      <w:pPr>
        <w:pStyle w:val="ListParagraph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 xml:space="preserve">  У</w:t>
      </w:r>
      <w:r w:rsidRPr="00D44F5F">
        <w:rPr>
          <w:b/>
          <w:u w:val="none"/>
        </w:rPr>
        <w:t xml:space="preserve"> одјелу</w:t>
      </w:r>
      <w:r w:rsidRPr="00D44F5F">
        <w:rPr>
          <w:i/>
          <w:iCs/>
          <w:u w:val="none"/>
        </w:rPr>
        <w:t xml:space="preserve"> </w:t>
      </w:r>
      <w:r w:rsidRPr="00D44F5F">
        <w:rPr>
          <w:b/>
          <w:u w:val="none"/>
        </w:rPr>
        <w:t>„</w:t>
      </w:r>
      <w:r w:rsidRPr="00D44F5F">
        <w:rPr>
          <w:b/>
          <w:i/>
          <w:u w:val="none"/>
        </w:rPr>
        <w:t>1</w:t>
      </w:r>
      <w:r w:rsidRPr="00D44F5F">
        <w:rPr>
          <w:b/>
          <w:u w:val="none"/>
        </w:rPr>
        <w:t xml:space="preserve">. </w:t>
      </w:r>
      <w:r w:rsidRPr="00D44F5F">
        <w:rPr>
          <w:b/>
          <w:i/>
          <w:iCs/>
          <w:u w:val="none"/>
        </w:rPr>
        <w:t>Служба за финансијске и рачуноводствене послове“</w:t>
      </w:r>
      <w:r w:rsidRPr="00D44F5F">
        <w:rPr>
          <w:u w:val="none"/>
          <w:lang w:val="sr-Cyrl-BA"/>
        </w:rPr>
        <w:t xml:space="preserve"> у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повећање 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са ССС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D44F5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д)</w:t>
      </w:r>
      <w:r w:rsidRPr="001A35A3">
        <w:rPr>
          <w:lang w:val="sr-Cyrl-BA"/>
        </w:rPr>
        <w:t xml:space="preserve"> Један радник на радном мјесту НК, запослен на радно мјесто „Чистач“ при Служби</w:t>
      </w:r>
      <w:r w:rsidR="00D44F5F">
        <w:rPr>
          <w:lang w:val="sr-Cyrl-BA"/>
        </w:rPr>
        <w:t xml:space="preserve"> </w:t>
      </w:r>
      <w:r w:rsidRPr="001A35A3">
        <w:rPr>
          <w:lang w:val="sr-Cyrl-BA"/>
        </w:rPr>
        <w:t>комуналних услуга, предвиђен у Плану за 2025. годину за радно мјесто са ССС, при Служби за финансијске и рачуноводствене послове.</w:t>
      </w:r>
    </w:p>
    <w:p w:rsidR="001A35A3" w:rsidRPr="00D44F5F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D44F5F" w:rsidRPr="00D44F5F" w:rsidRDefault="00D44F5F" w:rsidP="00D44F5F">
      <w:pPr>
        <w:pStyle w:val="ListParagraph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 xml:space="preserve">  У</w:t>
      </w:r>
      <w:r w:rsidRPr="00D44F5F">
        <w:rPr>
          <w:b/>
          <w:u w:val="none"/>
        </w:rPr>
        <w:t xml:space="preserve"> одјелу</w:t>
      </w:r>
      <w:r w:rsidRPr="00D44F5F">
        <w:rPr>
          <w:i/>
          <w:iCs/>
          <w:u w:val="none"/>
        </w:rPr>
        <w:t xml:space="preserve"> </w:t>
      </w:r>
      <w:r w:rsidRPr="00D44F5F">
        <w:rPr>
          <w:b/>
          <w:u w:val="none"/>
        </w:rPr>
        <w:t>„</w:t>
      </w:r>
      <w:r w:rsidRPr="00D44F5F">
        <w:rPr>
          <w:b/>
          <w:i/>
          <w:u w:val="none"/>
        </w:rPr>
        <w:t>1</w:t>
      </w:r>
      <w:r w:rsidRPr="00D44F5F">
        <w:rPr>
          <w:b/>
          <w:u w:val="none"/>
        </w:rPr>
        <w:t xml:space="preserve">. </w:t>
      </w:r>
      <w:r w:rsidRPr="00D44F5F">
        <w:rPr>
          <w:b/>
          <w:i/>
          <w:iCs/>
          <w:u w:val="none"/>
        </w:rPr>
        <w:t>Служба за финансијске и рачуноводствене послове“</w:t>
      </w:r>
      <w:r w:rsidRPr="00D44F5F">
        <w:rPr>
          <w:u w:val="none"/>
          <w:lang w:val="sr-Cyrl-BA"/>
        </w:rPr>
        <w:t xml:space="preserve"> у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повећање 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 xml:space="preserve">са </w:t>
      </w:r>
      <w:r>
        <w:rPr>
          <w:b/>
          <w:i/>
          <w:u w:val="none"/>
          <w:lang w:val="sr-Cyrl-BA"/>
        </w:rPr>
        <w:t>КВ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Default="001A35A3" w:rsidP="00F410A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ђ)</w:t>
      </w:r>
      <w:r w:rsidRPr="001A35A3">
        <w:rPr>
          <w:lang w:val="sr-Cyrl-BA"/>
        </w:rPr>
        <w:t xml:space="preserve"> Један радник на радном мјесту КВ, запослен на радно мјесто „инкасант у Пијаци“ при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Служби за организацију пијачних услуга, предвиђен у Плану за 2025. годину за радно мјесто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са КВ, при Служби за финансијске и рачуноводствене послове.</w:t>
      </w:r>
    </w:p>
    <w:p w:rsidR="00F410AF" w:rsidRPr="00F410AF" w:rsidRDefault="00F410AF" w:rsidP="00F410AF">
      <w:pPr>
        <w:tabs>
          <w:tab w:val="left" w:pos="7335"/>
        </w:tabs>
        <w:ind w:firstLine="709"/>
        <w:jc w:val="both"/>
        <w:rPr>
          <w:sz w:val="16"/>
          <w:szCs w:val="16"/>
          <w:lang w:val="sr-Cyrl-BA"/>
        </w:rPr>
      </w:pPr>
    </w:p>
    <w:p w:rsidR="00F410AF" w:rsidRPr="00D44F5F" w:rsidRDefault="00F410AF" w:rsidP="00F410AF">
      <w:pPr>
        <w:pStyle w:val="ListParagraph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 xml:space="preserve">  У</w:t>
      </w:r>
      <w:r w:rsidRPr="00D44F5F">
        <w:rPr>
          <w:b/>
          <w:u w:val="none"/>
        </w:rPr>
        <w:t xml:space="preserve"> одјелу</w:t>
      </w:r>
      <w:r w:rsidRPr="00D44F5F">
        <w:rPr>
          <w:i/>
          <w:iCs/>
          <w:u w:val="none"/>
        </w:rPr>
        <w:t xml:space="preserve"> </w:t>
      </w:r>
      <w:r w:rsidRPr="00F410AF">
        <w:rPr>
          <w:b/>
          <w:szCs w:val="24"/>
          <w:u w:val="none"/>
        </w:rPr>
        <w:t>„</w:t>
      </w:r>
      <w:r w:rsidRPr="00F410AF">
        <w:rPr>
          <w:b/>
          <w:i/>
          <w:szCs w:val="24"/>
          <w:u w:val="none"/>
        </w:rPr>
        <w:t>2</w:t>
      </w:r>
      <w:r w:rsidRPr="00F410AF">
        <w:rPr>
          <w:b/>
          <w:szCs w:val="24"/>
          <w:u w:val="none"/>
        </w:rPr>
        <w:t xml:space="preserve">. </w:t>
      </w:r>
      <w:r w:rsidRPr="00F410AF">
        <w:rPr>
          <w:b/>
          <w:i/>
          <w:iCs/>
          <w:szCs w:val="24"/>
          <w:u w:val="none"/>
        </w:rPr>
        <w:t xml:space="preserve">Служба за </w:t>
      </w:r>
      <w:r w:rsidRPr="00F410AF">
        <w:rPr>
          <w:b/>
          <w:i/>
          <w:iCs/>
          <w:szCs w:val="24"/>
          <w:u w:val="none"/>
          <w:lang w:val="sr-Cyrl-BA"/>
        </w:rPr>
        <w:t>правне, кадровске и опште послове</w:t>
      </w:r>
      <w:r w:rsidRPr="00F410AF">
        <w:rPr>
          <w:b/>
          <w:i/>
          <w:iCs/>
          <w:szCs w:val="24"/>
          <w:u w:val="none"/>
        </w:rPr>
        <w:t>“</w:t>
      </w:r>
      <w:r w:rsidRPr="00F410AF">
        <w:rPr>
          <w:szCs w:val="24"/>
          <w:u w:val="none"/>
          <w:lang w:val="sr-Cyrl-BA"/>
        </w:rPr>
        <w:t xml:space="preserve"> </w:t>
      </w:r>
      <w:r w:rsidRPr="00F410AF">
        <w:rPr>
          <w:u w:val="none"/>
          <w:lang w:val="sr-Cyrl-BA"/>
        </w:rPr>
        <w:t>у</w:t>
      </w:r>
      <w:r w:rsidRPr="00D44F5F">
        <w:rPr>
          <w:u w:val="none"/>
          <w:lang w:val="sr-Cyrl-BA"/>
        </w:rPr>
        <w:t xml:space="preserve">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повећање 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 xml:space="preserve">са </w:t>
      </w:r>
      <w:r>
        <w:rPr>
          <w:b/>
          <w:i/>
          <w:u w:val="none"/>
          <w:lang w:val="sr-Cyrl-BA"/>
        </w:rPr>
        <w:t>ВСС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F410A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lastRenderedPageBreak/>
        <w:t>е)</w:t>
      </w:r>
      <w:r w:rsidRPr="001A35A3">
        <w:rPr>
          <w:lang w:val="sr-Cyrl-BA"/>
        </w:rPr>
        <w:t xml:space="preserve"> Један радник на радном мјесту ВШС, запослен на радно мјесто „Референт за спорна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потраживања“ при Служби за правне, кадровске и опште послове, предвиђен у Плану за 2025. годину за радно мјесто са ВСС.</w:t>
      </w:r>
    </w:p>
    <w:p w:rsidR="001A35A3" w:rsidRPr="00F410AF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F410AF" w:rsidRPr="00D44F5F" w:rsidRDefault="00F410AF" w:rsidP="00F410AF">
      <w:pPr>
        <w:pStyle w:val="ListParagraph"/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u w:val="none"/>
          <w:lang w:val="sr-Cyrl-BA"/>
        </w:rPr>
      </w:pPr>
      <w:r>
        <w:rPr>
          <w:b/>
          <w:u w:val="none"/>
          <w:lang w:val="sr-Cyrl-BA"/>
        </w:rPr>
        <w:t xml:space="preserve">  У</w:t>
      </w:r>
      <w:r w:rsidRPr="00D44F5F">
        <w:rPr>
          <w:b/>
          <w:u w:val="none"/>
        </w:rPr>
        <w:t xml:space="preserve"> одјелу</w:t>
      </w:r>
      <w:r w:rsidRPr="00D44F5F">
        <w:rPr>
          <w:i/>
          <w:iCs/>
          <w:u w:val="none"/>
        </w:rPr>
        <w:t xml:space="preserve"> </w:t>
      </w:r>
      <w:r w:rsidRPr="00F410AF">
        <w:rPr>
          <w:b/>
          <w:szCs w:val="24"/>
          <w:u w:val="none"/>
        </w:rPr>
        <w:t>„</w:t>
      </w:r>
      <w:r w:rsidRPr="00F410AF">
        <w:rPr>
          <w:b/>
          <w:i/>
          <w:szCs w:val="24"/>
          <w:u w:val="none"/>
        </w:rPr>
        <w:t>2</w:t>
      </w:r>
      <w:r w:rsidRPr="00F410AF">
        <w:rPr>
          <w:b/>
          <w:szCs w:val="24"/>
          <w:u w:val="none"/>
        </w:rPr>
        <w:t xml:space="preserve">. </w:t>
      </w:r>
      <w:r w:rsidRPr="00F410AF">
        <w:rPr>
          <w:b/>
          <w:i/>
          <w:iCs/>
          <w:szCs w:val="24"/>
          <w:u w:val="none"/>
        </w:rPr>
        <w:t xml:space="preserve">Служба за </w:t>
      </w:r>
      <w:r w:rsidRPr="00F410AF">
        <w:rPr>
          <w:b/>
          <w:i/>
          <w:iCs/>
          <w:szCs w:val="24"/>
          <w:u w:val="none"/>
          <w:lang w:val="sr-Cyrl-BA"/>
        </w:rPr>
        <w:t>правне, кадровске и опште послове</w:t>
      </w:r>
      <w:r w:rsidRPr="00F410AF">
        <w:rPr>
          <w:b/>
          <w:i/>
          <w:iCs/>
          <w:szCs w:val="24"/>
          <w:u w:val="none"/>
        </w:rPr>
        <w:t>“</w:t>
      </w:r>
      <w:r w:rsidRPr="00F410AF">
        <w:rPr>
          <w:szCs w:val="24"/>
          <w:u w:val="none"/>
          <w:lang w:val="sr-Cyrl-BA"/>
        </w:rPr>
        <w:t xml:space="preserve"> </w:t>
      </w:r>
      <w:r w:rsidRPr="00F410AF">
        <w:rPr>
          <w:u w:val="none"/>
          <w:lang w:val="sr-Cyrl-BA"/>
        </w:rPr>
        <w:t>у</w:t>
      </w:r>
      <w:r w:rsidRPr="00D44F5F">
        <w:rPr>
          <w:u w:val="none"/>
          <w:lang w:val="sr-Cyrl-BA"/>
        </w:rPr>
        <w:t xml:space="preserve">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>
        <w:rPr>
          <w:b/>
          <w:i/>
          <w:u w:val="none"/>
          <w:lang w:val="sr-Cyrl-BA"/>
        </w:rPr>
        <w:t xml:space="preserve">смањење </w:t>
      </w:r>
      <w:r w:rsidRPr="00D44F5F">
        <w:rPr>
          <w:b/>
          <w:i/>
          <w:u w:val="none"/>
          <w:lang w:val="sr-Cyrl-BA"/>
        </w:rPr>
        <w:t>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 xml:space="preserve">са </w:t>
      </w:r>
      <w:r>
        <w:rPr>
          <w:b/>
          <w:i/>
          <w:u w:val="none"/>
          <w:lang w:val="sr-Cyrl-BA"/>
        </w:rPr>
        <w:t>ВШС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F410A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ж)</w:t>
      </w:r>
      <w:r w:rsidRPr="001A35A3">
        <w:rPr>
          <w:lang w:val="sr-Cyrl-BA"/>
        </w:rPr>
        <w:t xml:space="preserve"> Један радник из тачке в), на радном мјесту ВШС, запослен на радно мјесто „Виши сарадник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за кадровске и послове органа управљања“ при Служби за правне, кадровске и опште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послове“ предвиђен у Плану за 2025. годину за радно мјесто са ВСС, при Служби за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финансијске и рачуноводствене послове.</w:t>
      </w:r>
    </w:p>
    <w:p w:rsidR="001A35A3" w:rsidRPr="001A35A3" w:rsidRDefault="001A35A3" w:rsidP="00F410A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з)</w:t>
      </w:r>
      <w:r w:rsidRPr="001A35A3">
        <w:rPr>
          <w:lang w:val="sr-Cyrl-BA"/>
        </w:rPr>
        <w:t xml:space="preserve"> Један радник из тачке е) на радном мјесту ВШС, запослен на радно мјесто „Референт за спорна потраживања“ при Служби за правне, кадровске и опште послове, предвиђен у Плану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за 2025. годину за радно мјесто са ВСС.</w:t>
      </w:r>
    </w:p>
    <w:p w:rsidR="001A35A3" w:rsidRPr="00483B3D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1A35A3" w:rsidRPr="001A35A3" w:rsidRDefault="001A35A3" w:rsidP="001A35A3">
      <w:pPr>
        <w:tabs>
          <w:tab w:val="left" w:pos="7335"/>
        </w:tabs>
        <w:jc w:val="both"/>
        <w:rPr>
          <w:b/>
          <w:lang w:val="sr-Cyrl-BA"/>
        </w:rPr>
      </w:pPr>
      <w:r w:rsidRPr="001A35A3">
        <w:rPr>
          <w:b/>
          <w:lang w:val="sr-Cyrl-BA"/>
        </w:rPr>
        <w:t>2)</w:t>
      </w:r>
      <w:r w:rsidRPr="001A35A3">
        <w:rPr>
          <w:b/>
        </w:rPr>
        <w:t xml:space="preserve"> у поглављу „II</w:t>
      </w:r>
      <w:r w:rsidRPr="001A35A3">
        <w:rPr>
          <w:b/>
          <w:lang w:val="en-GB"/>
        </w:rPr>
        <w:t>I</w:t>
      </w:r>
      <w:r w:rsidRPr="001A35A3">
        <w:rPr>
          <w:b/>
        </w:rPr>
        <w:t xml:space="preserve"> - </w:t>
      </w:r>
      <w:r w:rsidRPr="001A35A3">
        <w:rPr>
          <w:b/>
          <w:lang w:val="sr-Cyrl-BA"/>
        </w:rPr>
        <w:t>ПРОИЗВОДНО - ТЕХНОЛОШКИ СЕКТОР</w:t>
      </w:r>
      <w:r w:rsidRPr="001A35A3">
        <w:rPr>
          <w:b/>
        </w:rPr>
        <w:t>“</w:t>
      </w:r>
    </w:p>
    <w:p w:rsidR="001A35A3" w:rsidRPr="00F410AF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1A35A3" w:rsidRPr="00F410AF" w:rsidRDefault="00F410AF" w:rsidP="00F410AF">
      <w:pPr>
        <w:pStyle w:val="ListParagraph"/>
        <w:numPr>
          <w:ilvl w:val="0"/>
          <w:numId w:val="38"/>
        </w:numPr>
        <w:tabs>
          <w:tab w:val="left" w:pos="851"/>
        </w:tabs>
        <w:ind w:left="0" w:firstLine="426"/>
        <w:jc w:val="both"/>
        <w:rPr>
          <w:u w:val="none"/>
          <w:lang w:val="sr-Cyrl-BA"/>
        </w:rPr>
      </w:pPr>
      <w:r w:rsidRPr="00F410AF">
        <w:rPr>
          <w:b/>
          <w:u w:val="none"/>
          <w:lang w:val="sr-Cyrl-BA"/>
        </w:rPr>
        <w:t>У</w:t>
      </w:r>
      <w:r w:rsidR="001A35A3" w:rsidRPr="00F410AF">
        <w:rPr>
          <w:b/>
          <w:u w:val="none"/>
        </w:rPr>
        <w:t xml:space="preserve"> одјелу</w:t>
      </w:r>
      <w:r w:rsidR="001A35A3" w:rsidRPr="00F410AF">
        <w:rPr>
          <w:i/>
          <w:iCs/>
          <w:u w:val="none"/>
        </w:rPr>
        <w:t xml:space="preserve"> </w:t>
      </w:r>
      <w:r w:rsidR="001A35A3" w:rsidRPr="00F410AF">
        <w:rPr>
          <w:b/>
          <w:u w:val="none"/>
        </w:rPr>
        <w:t>„</w:t>
      </w:r>
      <w:r w:rsidR="001A35A3" w:rsidRPr="00F410AF">
        <w:rPr>
          <w:b/>
          <w:i/>
          <w:u w:val="none"/>
        </w:rPr>
        <w:t>1</w:t>
      </w:r>
      <w:r w:rsidR="001A35A3" w:rsidRPr="00F410AF">
        <w:rPr>
          <w:b/>
          <w:u w:val="none"/>
        </w:rPr>
        <w:t xml:space="preserve">. </w:t>
      </w:r>
      <w:r w:rsidR="001A35A3" w:rsidRPr="00F410AF">
        <w:rPr>
          <w:b/>
          <w:i/>
          <w:iCs/>
          <w:u w:val="none"/>
        </w:rPr>
        <w:t xml:space="preserve">Служба </w:t>
      </w:r>
      <w:r w:rsidR="001A35A3" w:rsidRPr="00F410AF">
        <w:rPr>
          <w:b/>
          <w:i/>
          <w:iCs/>
          <w:u w:val="none"/>
          <w:lang w:val="sr-Cyrl-BA"/>
        </w:rPr>
        <w:t>комуналних услуга</w:t>
      </w:r>
      <w:r w:rsidR="001A35A3" w:rsidRPr="00F410AF">
        <w:rPr>
          <w:b/>
          <w:i/>
          <w:iCs/>
          <w:u w:val="none"/>
        </w:rPr>
        <w:t>“</w:t>
      </w:r>
      <w:r w:rsidR="001A35A3" w:rsidRPr="00F410AF">
        <w:rPr>
          <w:u w:val="none"/>
          <w:lang w:val="sr-Cyrl-BA"/>
        </w:rPr>
        <w:t xml:space="preserve"> </w:t>
      </w:r>
      <w:r w:rsidRPr="00F410AF">
        <w:rPr>
          <w:u w:val="none"/>
          <w:lang w:val="sr-Cyrl-BA"/>
        </w:rPr>
        <w:t>у</w:t>
      </w:r>
      <w:r w:rsidRPr="00D44F5F">
        <w:rPr>
          <w:u w:val="none"/>
          <w:lang w:val="sr-Cyrl-BA"/>
        </w:rPr>
        <w:t xml:space="preserve">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>
        <w:rPr>
          <w:b/>
          <w:i/>
          <w:u w:val="none"/>
          <w:lang w:val="sr-Cyrl-BA"/>
        </w:rPr>
        <w:t xml:space="preserve">смањење </w:t>
      </w:r>
      <w:r w:rsidRPr="00D44F5F">
        <w:rPr>
          <w:b/>
          <w:i/>
          <w:u w:val="none"/>
          <w:lang w:val="sr-Cyrl-BA"/>
        </w:rPr>
        <w:t>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 xml:space="preserve">са </w:t>
      </w:r>
      <w:r>
        <w:rPr>
          <w:b/>
          <w:i/>
          <w:u w:val="none"/>
          <w:lang w:val="sr-Cyrl-BA"/>
        </w:rPr>
        <w:t>НК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F410AF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и)</w:t>
      </w:r>
      <w:r w:rsidRPr="001A35A3">
        <w:rPr>
          <w:lang w:val="sr-Cyrl-BA"/>
        </w:rPr>
        <w:t xml:space="preserve"> Један радник из тачке д) на радном мјесту НК, запослен на радно мјесто „Чистач“ при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Служби комуналних услуга, предвиђен у Плану за 2025. годину за радно мјесто са ССС, при</w:t>
      </w:r>
      <w:r w:rsidR="00F410AF">
        <w:rPr>
          <w:lang w:val="sr-Cyrl-BA"/>
        </w:rPr>
        <w:t xml:space="preserve"> </w:t>
      </w:r>
      <w:r w:rsidRPr="001A35A3">
        <w:rPr>
          <w:lang w:val="sr-Cyrl-BA"/>
        </w:rPr>
        <w:t>Служби за финансијске и рачуноводствене послове.</w:t>
      </w:r>
    </w:p>
    <w:p w:rsidR="001A35A3" w:rsidRPr="00483B3D" w:rsidRDefault="001A35A3" w:rsidP="001A35A3">
      <w:pPr>
        <w:tabs>
          <w:tab w:val="left" w:pos="7335"/>
        </w:tabs>
        <w:jc w:val="both"/>
        <w:rPr>
          <w:sz w:val="16"/>
          <w:szCs w:val="16"/>
          <w:lang w:val="sr-Cyrl-BA"/>
        </w:rPr>
      </w:pPr>
    </w:p>
    <w:p w:rsidR="00F410AF" w:rsidRPr="00F410AF" w:rsidRDefault="00F410AF" w:rsidP="00F410AF">
      <w:pPr>
        <w:pStyle w:val="ListParagraph"/>
        <w:numPr>
          <w:ilvl w:val="0"/>
          <w:numId w:val="38"/>
        </w:numPr>
        <w:tabs>
          <w:tab w:val="left" w:pos="851"/>
        </w:tabs>
        <w:ind w:left="0" w:firstLine="426"/>
        <w:jc w:val="both"/>
        <w:rPr>
          <w:u w:val="none"/>
          <w:lang w:val="sr-Cyrl-BA"/>
        </w:rPr>
      </w:pPr>
      <w:r w:rsidRPr="00F410AF">
        <w:rPr>
          <w:b/>
          <w:u w:val="none"/>
          <w:lang w:val="sr-Cyrl-BA"/>
        </w:rPr>
        <w:t>У</w:t>
      </w:r>
      <w:r w:rsidRPr="00F410AF">
        <w:rPr>
          <w:b/>
          <w:u w:val="none"/>
        </w:rPr>
        <w:t xml:space="preserve"> одјелу</w:t>
      </w:r>
      <w:r w:rsidRPr="00F410AF">
        <w:rPr>
          <w:i/>
          <w:iCs/>
          <w:u w:val="none"/>
        </w:rPr>
        <w:t xml:space="preserve"> </w:t>
      </w:r>
      <w:r w:rsidR="00483B3D" w:rsidRPr="00483B3D">
        <w:rPr>
          <w:b/>
          <w:szCs w:val="24"/>
          <w:u w:val="none"/>
        </w:rPr>
        <w:t>„</w:t>
      </w:r>
      <w:r w:rsidR="00483B3D" w:rsidRPr="00483B3D">
        <w:rPr>
          <w:b/>
          <w:i/>
          <w:szCs w:val="24"/>
          <w:u w:val="none"/>
          <w:lang w:val="sr-Cyrl-BA"/>
        </w:rPr>
        <w:t>2</w:t>
      </w:r>
      <w:r w:rsidR="00483B3D" w:rsidRPr="00483B3D">
        <w:rPr>
          <w:b/>
          <w:szCs w:val="24"/>
          <w:u w:val="none"/>
        </w:rPr>
        <w:t xml:space="preserve">. </w:t>
      </w:r>
      <w:r w:rsidR="00483B3D" w:rsidRPr="00483B3D">
        <w:rPr>
          <w:b/>
          <w:i/>
          <w:iCs/>
          <w:szCs w:val="24"/>
          <w:u w:val="none"/>
        </w:rPr>
        <w:t>Служба</w:t>
      </w:r>
      <w:r w:rsidR="00483B3D" w:rsidRPr="00483B3D">
        <w:rPr>
          <w:b/>
          <w:i/>
          <w:iCs/>
          <w:szCs w:val="24"/>
          <w:u w:val="none"/>
          <w:lang w:val="sr-Cyrl-BA"/>
        </w:rPr>
        <w:t xml:space="preserve"> за организацију пијачних услуга</w:t>
      </w:r>
      <w:r w:rsidR="00483B3D" w:rsidRPr="00483B3D">
        <w:rPr>
          <w:b/>
          <w:i/>
          <w:iCs/>
          <w:szCs w:val="24"/>
          <w:u w:val="none"/>
        </w:rPr>
        <w:t>“</w:t>
      </w:r>
      <w:r w:rsidR="00483B3D" w:rsidRPr="00483B3D">
        <w:rPr>
          <w:szCs w:val="24"/>
          <w:u w:val="none"/>
          <w:lang w:val="sr-Cyrl-BA"/>
        </w:rPr>
        <w:t xml:space="preserve"> </w:t>
      </w:r>
      <w:r w:rsidRPr="00483B3D">
        <w:rPr>
          <w:u w:val="none"/>
          <w:lang w:val="sr-Cyrl-BA"/>
        </w:rPr>
        <w:t>у</w:t>
      </w:r>
      <w:r w:rsidRPr="00D44F5F">
        <w:rPr>
          <w:u w:val="none"/>
          <w:lang w:val="sr-Cyrl-BA"/>
        </w:rPr>
        <w:t xml:space="preserve"> одјељку „Стање 13.12.2024. године“</w:t>
      </w:r>
      <w:r w:rsidRPr="00D44F5F">
        <w:rPr>
          <w:u w:val="none"/>
        </w:rPr>
        <w:t>,</w:t>
      </w:r>
      <w:r w:rsidRPr="00D44F5F">
        <w:rPr>
          <w:u w:val="none"/>
          <w:lang w:val="sr-Cyrl-BA"/>
        </w:rPr>
        <w:t xml:space="preserve"> </w:t>
      </w:r>
      <w:r w:rsidR="00483B3D">
        <w:rPr>
          <w:b/>
          <w:i/>
          <w:u w:val="none"/>
          <w:lang w:val="sr-Cyrl-BA"/>
        </w:rPr>
        <w:t>смањење</w:t>
      </w:r>
      <w:r>
        <w:rPr>
          <w:b/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>броја радника</w:t>
      </w:r>
      <w:r w:rsidRPr="00D44F5F">
        <w:rPr>
          <w:i/>
          <w:u w:val="none"/>
          <w:lang w:val="sr-Cyrl-BA"/>
        </w:rPr>
        <w:t xml:space="preserve"> </w:t>
      </w:r>
      <w:r w:rsidRPr="00D44F5F">
        <w:rPr>
          <w:b/>
          <w:i/>
          <w:u w:val="none"/>
          <w:lang w:val="sr-Cyrl-BA"/>
        </w:rPr>
        <w:t xml:space="preserve">са </w:t>
      </w:r>
      <w:r w:rsidR="00483B3D">
        <w:rPr>
          <w:b/>
          <w:i/>
          <w:u w:val="none"/>
          <w:lang w:val="sr-Cyrl-BA"/>
        </w:rPr>
        <w:t>КВ</w:t>
      </w:r>
      <w:r w:rsidRPr="00D44F5F">
        <w:rPr>
          <w:u w:val="none"/>
          <w:lang w:val="sr-Cyrl-BA"/>
        </w:rPr>
        <w:t xml:space="preserve"> у односу на „План за 2025. годину“, настаје из</w:t>
      </w:r>
      <w:r w:rsidRPr="00D44F5F">
        <w:rPr>
          <w:u w:val="none"/>
        </w:rPr>
        <w:t xml:space="preserve"> сљедећ</w:t>
      </w:r>
      <w:r w:rsidRPr="00D44F5F">
        <w:rPr>
          <w:u w:val="none"/>
          <w:lang w:val="sr-Cyrl-BA"/>
        </w:rPr>
        <w:t>их разлога</w:t>
      </w:r>
      <w:r w:rsidRPr="00D44F5F">
        <w:rPr>
          <w:u w:val="none"/>
        </w:rPr>
        <w:t>:</w:t>
      </w:r>
    </w:p>
    <w:p w:rsidR="001A35A3" w:rsidRPr="001A35A3" w:rsidRDefault="001A35A3" w:rsidP="00483B3D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 xml:space="preserve">ј) </w:t>
      </w:r>
      <w:r w:rsidRPr="001A35A3">
        <w:rPr>
          <w:lang w:val="sr-Cyrl-BA"/>
        </w:rPr>
        <w:t>Један радник из тачке ђ), на радном мјесту КВ, запослен на радно мјесто „инкасант у Пијаци“ при Служби за организацију пијачних услуга, предвиђен у Плану за 2025. годину за</w:t>
      </w:r>
      <w:r w:rsidR="00483B3D">
        <w:rPr>
          <w:lang w:val="sr-Cyrl-BA"/>
        </w:rPr>
        <w:t xml:space="preserve"> </w:t>
      </w:r>
      <w:r w:rsidRPr="001A35A3">
        <w:rPr>
          <w:lang w:val="sr-Cyrl-BA"/>
        </w:rPr>
        <w:t>радно мјесто са КВ, при Служби за финансијске и рачуноводствене послове.</w:t>
      </w:r>
    </w:p>
    <w:p w:rsidR="001A35A3" w:rsidRPr="00483B3D" w:rsidRDefault="001A35A3" w:rsidP="001A35A3">
      <w:pPr>
        <w:tabs>
          <w:tab w:val="left" w:pos="7335"/>
        </w:tabs>
        <w:rPr>
          <w:b/>
          <w:sz w:val="16"/>
          <w:szCs w:val="16"/>
          <w:lang w:val="sr-Cyrl-BA"/>
        </w:rPr>
      </w:pPr>
    </w:p>
    <w:p w:rsidR="001A35A3" w:rsidRPr="001A35A3" w:rsidRDefault="001A35A3" w:rsidP="001A35A3">
      <w:pPr>
        <w:tabs>
          <w:tab w:val="left" w:pos="7335"/>
        </w:tabs>
        <w:jc w:val="both"/>
        <w:rPr>
          <w:b/>
        </w:rPr>
      </w:pPr>
      <w:r w:rsidRPr="001A35A3">
        <w:rPr>
          <w:b/>
          <w:lang w:val="sr-Cyrl-BA"/>
        </w:rPr>
        <w:t>3)</w:t>
      </w:r>
      <w:r w:rsidRPr="001A35A3">
        <w:rPr>
          <w:b/>
        </w:rPr>
        <w:t xml:space="preserve"> у поглављу „</w:t>
      </w:r>
      <w:r w:rsidRPr="001A35A3">
        <w:rPr>
          <w:b/>
          <w:lang w:val="en-GB"/>
        </w:rPr>
        <w:t>V</w:t>
      </w:r>
      <w:r w:rsidRPr="001A35A3">
        <w:rPr>
          <w:b/>
        </w:rPr>
        <w:t xml:space="preserve"> -</w:t>
      </w:r>
      <w:r w:rsidRPr="001A35A3">
        <w:rPr>
          <w:b/>
          <w:lang w:val="sr-Cyrl-BA"/>
        </w:rPr>
        <w:t xml:space="preserve"> ПРИПРАВНИЦИ И ВОЛОНТЕРИ </w:t>
      </w:r>
      <w:r w:rsidRPr="001A35A3">
        <w:rPr>
          <w:b/>
        </w:rPr>
        <w:t>“</w:t>
      </w:r>
      <w:r w:rsidRPr="001A35A3">
        <w:t xml:space="preserve"> </w:t>
      </w:r>
    </w:p>
    <w:p w:rsidR="001A35A3" w:rsidRPr="00483B3D" w:rsidRDefault="001A35A3" w:rsidP="001A35A3">
      <w:pPr>
        <w:tabs>
          <w:tab w:val="left" w:pos="7335"/>
        </w:tabs>
        <w:rPr>
          <w:sz w:val="16"/>
          <w:szCs w:val="16"/>
          <w:lang w:val="sr-Cyrl-BA"/>
        </w:rPr>
      </w:pPr>
    </w:p>
    <w:p w:rsidR="00483B3D" w:rsidRPr="00483B3D" w:rsidRDefault="00483B3D" w:rsidP="00483B3D">
      <w:pPr>
        <w:pStyle w:val="ListParagraph"/>
        <w:numPr>
          <w:ilvl w:val="0"/>
          <w:numId w:val="40"/>
        </w:numPr>
        <w:tabs>
          <w:tab w:val="left" w:pos="851"/>
        </w:tabs>
        <w:ind w:left="0" w:firstLine="284"/>
        <w:jc w:val="both"/>
        <w:rPr>
          <w:u w:val="none"/>
          <w:lang w:val="sr-Cyrl-BA"/>
        </w:rPr>
      </w:pPr>
      <w:r w:rsidRPr="00483B3D">
        <w:rPr>
          <w:b/>
          <w:u w:val="none"/>
          <w:lang w:val="sr-Cyrl-BA"/>
        </w:rPr>
        <w:t>У</w:t>
      </w:r>
      <w:r w:rsidR="001A35A3" w:rsidRPr="00483B3D">
        <w:rPr>
          <w:b/>
          <w:u w:val="none"/>
        </w:rPr>
        <w:t xml:space="preserve"> одјелу</w:t>
      </w:r>
      <w:r w:rsidR="001A35A3" w:rsidRPr="00483B3D">
        <w:rPr>
          <w:i/>
          <w:iCs/>
          <w:u w:val="none"/>
        </w:rPr>
        <w:t xml:space="preserve"> </w:t>
      </w:r>
      <w:r w:rsidR="001A35A3" w:rsidRPr="00483B3D">
        <w:rPr>
          <w:b/>
          <w:u w:val="none"/>
        </w:rPr>
        <w:t>„</w:t>
      </w:r>
      <w:r w:rsidR="001A35A3" w:rsidRPr="00483B3D">
        <w:rPr>
          <w:b/>
          <w:i/>
          <w:u w:val="none"/>
        </w:rPr>
        <w:t>1</w:t>
      </w:r>
      <w:r w:rsidR="001A35A3" w:rsidRPr="00483B3D">
        <w:rPr>
          <w:b/>
          <w:u w:val="none"/>
        </w:rPr>
        <w:t xml:space="preserve">. </w:t>
      </w:r>
      <w:r w:rsidR="001A35A3" w:rsidRPr="00483B3D">
        <w:rPr>
          <w:b/>
          <w:i/>
          <w:iCs/>
          <w:u w:val="none"/>
          <w:lang w:val="sr-Cyrl-BA"/>
        </w:rPr>
        <w:t>Приправници</w:t>
      </w:r>
      <w:r w:rsidR="001A35A3" w:rsidRPr="00483B3D">
        <w:rPr>
          <w:b/>
          <w:i/>
          <w:iCs/>
          <w:u w:val="none"/>
        </w:rPr>
        <w:t>“</w:t>
      </w:r>
      <w:r w:rsidR="001A35A3" w:rsidRPr="00483B3D">
        <w:rPr>
          <w:u w:val="none"/>
          <w:lang w:val="sr-Cyrl-BA"/>
        </w:rPr>
        <w:t xml:space="preserve"> </w:t>
      </w:r>
      <w:r w:rsidRPr="00483B3D">
        <w:rPr>
          <w:u w:val="none"/>
          <w:lang w:val="sr-Cyrl-BA"/>
        </w:rPr>
        <w:t>у одјељку „Стање 13.12.2024. године“</w:t>
      </w:r>
      <w:r w:rsidRPr="00483B3D">
        <w:rPr>
          <w:u w:val="none"/>
        </w:rPr>
        <w:t>,</w:t>
      </w:r>
      <w:r w:rsidRPr="00483B3D">
        <w:rPr>
          <w:u w:val="none"/>
          <w:lang w:val="sr-Cyrl-BA"/>
        </w:rPr>
        <w:t xml:space="preserve"> </w:t>
      </w:r>
      <w:r w:rsidRPr="00483B3D">
        <w:rPr>
          <w:b/>
          <w:i/>
          <w:u w:val="none"/>
          <w:lang w:val="sr-Cyrl-BA"/>
        </w:rPr>
        <w:t>повећање броја приправника</w:t>
      </w:r>
      <w:r w:rsidRPr="00483B3D">
        <w:rPr>
          <w:i/>
          <w:u w:val="none"/>
          <w:lang w:val="sr-Cyrl-BA"/>
        </w:rPr>
        <w:t xml:space="preserve"> </w:t>
      </w:r>
      <w:r w:rsidRPr="00483B3D">
        <w:rPr>
          <w:b/>
          <w:i/>
          <w:u w:val="none"/>
          <w:lang w:val="sr-Cyrl-BA"/>
        </w:rPr>
        <w:t>са ССС</w:t>
      </w:r>
      <w:r w:rsidRPr="00483B3D">
        <w:rPr>
          <w:u w:val="none"/>
          <w:lang w:val="sr-Cyrl-BA"/>
        </w:rPr>
        <w:t xml:space="preserve"> у односу на „План за 2025. годину“, настаје из</w:t>
      </w:r>
      <w:r w:rsidRPr="00483B3D">
        <w:rPr>
          <w:u w:val="none"/>
        </w:rPr>
        <w:t xml:space="preserve"> сљедећ</w:t>
      </w:r>
      <w:r w:rsidRPr="00483B3D">
        <w:rPr>
          <w:u w:val="none"/>
          <w:lang w:val="sr-Cyrl-BA"/>
        </w:rPr>
        <w:t>их разлога</w:t>
      </w:r>
      <w:r w:rsidRPr="00483B3D">
        <w:rPr>
          <w:u w:val="none"/>
        </w:rPr>
        <w:t>:</w:t>
      </w:r>
    </w:p>
    <w:p w:rsidR="001A35A3" w:rsidRPr="001A35A3" w:rsidRDefault="001A35A3" w:rsidP="00483B3D">
      <w:pPr>
        <w:tabs>
          <w:tab w:val="left" w:pos="7335"/>
        </w:tabs>
        <w:ind w:firstLine="709"/>
        <w:jc w:val="both"/>
        <w:rPr>
          <w:lang w:val="sr-Cyrl-BA"/>
        </w:rPr>
      </w:pPr>
      <w:r w:rsidRPr="001A35A3">
        <w:rPr>
          <w:b/>
          <w:lang w:val="sr-Cyrl-BA"/>
        </w:rPr>
        <w:t>к)</w:t>
      </w:r>
      <w:r w:rsidRPr="001A35A3">
        <w:rPr>
          <w:lang w:val="sr-Cyrl-BA"/>
        </w:rPr>
        <w:t xml:space="preserve"> У складу са пројектом „Програм подршке запошљавања</w:t>
      </w:r>
      <w:r w:rsidR="00483B3D">
        <w:rPr>
          <w:lang w:val="sr-Cyrl-BA"/>
        </w:rPr>
        <w:t xml:space="preserve"> младих у статусу приправника“, к</w:t>
      </w:r>
      <w:r w:rsidRPr="001A35A3">
        <w:rPr>
          <w:lang w:val="sr-Cyrl-BA"/>
        </w:rPr>
        <w:t>оје реализује Завод за запошљавање Републике Српске, предвиђено је у плану за 2025. годину, запошљавање 1 радника у статусу приправника са ССС.</w:t>
      </w:r>
    </w:p>
    <w:p w:rsidR="00662DA8" w:rsidRPr="00401F24" w:rsidRDefault="009129D1" w:rsidP="001E02D6">
      <w:pPr>
        <w:pStyle w:val="Heading1"/>
        <w:rPr>
          <w:rFonts w:ascii="Times New Roman" w:hAnsi="Times New Roman"/>
          <w:sz w:val="24"/>
          <w:szCs w:val="24"/>
          <w:lang w:val="sr-Latn-CS"/>
        </w:rPr>
      </w:pPr>
      <w:bookmarkStart w:id="8" w:name="_Toc351725960"/>
      <w:bookmarkStart w:id="9" w:name="_Toc153538040"/>
      <w:r w:rsidRPr="00401F24">
        <w:rPr>
          <w:rFonts w:ascii="Times New Roman" w:hAnsi="Times New Roman"/>
          <w:sz w:val="24"/>
          <w:szCs w:val="24"/>
          <w:lang w:val="sr-Latn-CS"/>
        </w:rPr>
        <w:t>V</w:t>
      </w:r>
      <w:r w:rsidR="00662DA8" w:rsidRPr="00401F24">
        <w:rPr>
          <w:rFonts w:ascii="Times New Roman" w:hAnsi="Times New Roman"/>
          <w:sz w:val="24"/>
          <w:szCs w:val="24"/>
          <w:lang w:val="sr-Latn-CS"/>
        </w:rPr>
        <w:t xml:space="preserve"> – </w:t>
      </w:r>
      <w:r w:rsidRPr="00401F24">
        <w:rPr>
          <w:rFonts w:ascii="Times New Roman" w:hAnsi="Times New Roman"/>
          <w:sz w:val="24"/>
          <w:szCs w:val="24"/>
          <w:lang w:val="sr-Latn-CS"/>
        </w:rPr>
        <w:t>МАТЕРИЈАЛНО</w:t>
      </w:r>
      <w:r w:rsidR="00662DA8" w:rsidRPr="00401F24">
        <w:rPr>
          <w:rFonts w:ascii="Times New Roman" w:hAnsi="Times New Roman"/>
          <w:sz w:val="24"/>
          <w:szCs w:val="24"/>
          <w:lang w:val="sr-Latn-CS"/>
        </w:rPr>
        <w:t>-</w:t>
      </w:r>
      <w:r w:rsidRPr="00401F24">
        <w:rPr>
          <w:rFonts w:ascii="Times New Roman" w:hAnsi="Times New Roman"/>
          <w:sz w:val="24"/>
          <w:szCs w:val="24"/>
          <w:lang w:val="sr-Latn-CS"/>
        </w:rPr>
        <w:t>ТЕХНИЧКА</w:t>
      </w:r>
      <w:r w:rsidR="00662DA8" w:rsidRPr="00401F2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01F24">
        <w:rPr>
          <w:rFonts w:ascii="Times New Roman" w:hAnsi="Times New Roman"/>
          <w:sz w:val="24"/>
          <w:szCs w:val="24"/>
          <w:lang w:val="sr-Latn-CS"/>
        </w:rPr>
        <w:t>ОПРЕМЉЕНОСТ</w:t>
      </w:r>
      <w:bookmarkEnd w:id="8"/>
      <w:bookmarkEnd w:id="9"/>
    </w:p>
    <w:p w:rsidR="007A002B" w:rsidRPr="009129D1" w:rsidRDefault="007A002B" w:rsidP="000C7322">
      <w:pPr>
        <w:pStyle w:val="NoSpacing"/>
        <w:rPr>
          <w:sz w:val="16"/>
          <w:szCs w:val="16"/>
          <w:lang w:val="sr-Latn-CS"/>
        </w:rPr>
      </w:pPr>
    </w:p>
    <w:p w:rsidR="00F316B2" w:rsidRDefault="0083434F" w:rsidP="009129D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Управа АД „Комуналац“ </w:t>
      </w:r>
      <w:r>
        <w:rPr>
          <w:lang w:val="sr-Latn-BA"/>
        </w:rPr>
        <w:t xml:space="preserve">Бијељина </w:t>
      </w:r>
      <w:r>
        <w:rPr>
          <w:lang w:val="sr-Cyrl-CS"/>
        </w:rPr>
        <w:t xml:space="preserve">континуирано предузима активности на даљем развоју, разради и прилагођавању условима пословања, уз поштовање принципа ефективности, ефикасности и економичности.  </w:t>
      </w:r>
      <w:r>
        <w:rPr>
          <w:lang w:val="sr-Cyrl-BA"/>
        </w:rPr>
        <w:t>У</w:t>
      </w:r>
      <w:r>
        <w:rPr>
          <w:lang w:val="sr-Latn-BA"/>
        </w:rPr>
        <w:t xml:space="preserve"> оквиру Плана инвестиционих улагања за 202</w:t>
      </w:r>
      <w:r w:rsidR="00401F24">
        <w:rPr>
          <w:lang w:val="sr-Cyrl-BA"/>
        </w:rPr>
        <w:t>5</w:t>
      </w:r>
      <w:r>
        <w:rPr>
          <w:lang w:val="sr-Latn-BA"/>
        </w:rPr>
        <w:t xml:space="preserve">. годину </w:t>
      </w:r>
      <w:r>
        <w:rPr>
          <w:lang w:val="sr-Cyrl-CS"/>
        </w:rPr>
        <w:t xml:space="preserve">Управа АД „Комуналац“ </w:t>
      </w:r>
      <w:r>
        <w:rPr>
          <w:lang w:val="sr-Latn-BA"/>
        </w:rPr>
        <w:t xml:space="preserve">Бијељина </w:t>
      </w:r>
      <w:r>
        <w:rPr>
          <w:lang w:val="sr-Cyrl-BA"/>
        </w:rPr>
        <w:t xml:space="preserve">планира да реализује </w:t>
      </w:r>
      <w:r>
        <w:rPr>
          <w:lang w:val="sr-Latn-BA"/>
        </w:rPr>
        <w:t>сљедеће набавке</w:t>
      </w:r>
      <w:r>
        <w:rPr>
          <w:lang w:val="sr-Cyrl-CS"/>
        </w:rPr>
        <w:t>:</w:t>
      </w:r>
    </w:p>
    <w:p w:rsidR="00661534" w:rsidRDefault="00661534" w:rsidP="009129D1">
      <w:pPr>
        <w:ind w:firstLine="720"/>
        <w:jc w:val="both"/>
        <w:rPr>
          <w:lang w:val="sr-Cyrl-CS"/>
        </w:rPr>
      </w:pPr>
    </w:p>
    <w:tbl>
      <w:tblPr>
        <w:tblW w:w="9321" w:type="dxa"/>
        <w:tblInd w:w="1" w:type="dxa"/>
        <w:tblLayout w:type="fixed"/>
        <w:tblLook w:val="0000"/>
      </w:tblPr>
      <w:tblGrid>
        <w:gridCol w:w="533"/>
        <w:gridCol w:w="7229"/>
        <w:gridCol w:w="1559"/>
      </w:tblGrid>
      <w:tr w:rsidR="00401F24" w:rsidRPr="001A421B" w:rsidTr="00401F24">
        <w:trPr>
          <w:trHeight w:val="19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01F24" w:rsidRPr="001A421B" w:rsidRDefault="00401F24" w:rsidP="00401F24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1A421B">
              <w:rPr>
                <w:b/>
                <w:sz w:val="22"/>
                <w:szCs w:val="22"/>
                <w:lang w:val="sr-Cyrl-BA"/>
              </w:rPr>
              <w:lastRenderedPageBreak/>
              <w:t>РБ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01F24" w:rsidRPr="001A421B" w:rsidRDefault="00401F24" w:rsidP="00401F24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 w:rsidRPr="001A421B">
              <w:rPr>
                <w:b/>
                <w:sz w:val="22"/>
                <w:szCs w:val="22"/>
                <w:lang w:val="sr-Cyrl-BA"/>
              </w:rPr>
              <w:t>ИНВЕСТИЦИЈА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401F24" w:rsidRPr="001A421B" w:rsidRDefault="00401F24" w:rsidP="00401F24">
            <w:pPr>
              <w:jc w:val="center"/>
              <w:rPr>
                <w:lang w:val="sr-Cyrl-BA"/>
              </w:rPr>
            </w:pPr>
            <w:r w:rsidRPr="001A421B">
              <w:rPr>
                <w:b/>
                <w:sz w:val="22"/>
                <w:szCs w:val="22"/>
                <w:lang w:val="sr-Cyrl-BA"/>
              </w:rPr>
              <w:t>Проц</w:t>
            </w:r>
            <w:r>
              <w:rPr>
                <w:b/>
                <w:sz w:val="22"/>
                <w:szCs w:val="22"/>
                <w:lang w:val="sr-Cyrl-BA"/>
              </w:rPr>
              <w:t>и</w:t>
            </w:r>
            <w:r w:rsidRPr="001A421B">
              <w:rPr>
                <w:b/>
                <w:sz w:val="22"/>
                <w:szCs w:val="22"/>
                <w:lang w:val="sr-Cyrl-BA"/>
              </w:rPr>
              <w:t>јењена вриједност (КМ)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 xml:space="preserve">Специјално теретно </w:t>
            </w:r>
            <w:r>
              <w:rPr>
                <w:sz w:val="22"/>
                <w:szCs w:val="22"/>
                <w:lang w:val="sr-Cyrl-BA"/>
              </w:rPr>
              <w:t xml:space="preserve">моторно </w:t>
            </w:r>
            <w:r w:rsidRPr="001A421B">
              <w:rPr>
                <w:sz w:val="22"/>
                <w:szCs w:val="22"/>
                <w:lang w:val="sr-Cyrl-BA"/>
              </w:rPr>
              <w:t xml:space="preserve">возило за </w:t>
            </w:r>
            <w:r>
              <w:rPr>
                <w:sz w:val="22"/>
                <w:szCs w:val="22"/>
                <w:lang w:val="sr-Cyrl-BA"/>
              </w:rPr>
              <w:t xml:space="preserve">прикупљање и одвожење комуналног </w:t>
            </w:r>
            <w:r w:rsidRPr="001A421B">
              <w:rPr>
                <w:sz w:val="22"/>
                <w:szCs w:val="22"/>
                <w:lang w:val="sr-Cyrl-BA"/>
              </w:rPr>
              <w:t>отпада</w:t>
            </w:r>
            <w:r>
              <w:rPr>
                <w:sz w:val="22"/>
                <w:szCs w:val="22"/>
                <w:lang w:val="sr-Latn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са додатном зглобном дизалицом за пражњење подземних контејера, </w:t>
            </w:r>
            <w:r>
              <w:rPr>
                <w:sz w:val="22"/>
                <w:szCs w:val="22"/>
                <w:lang w:val="sr-Latn-BA"/>
              </w:rPr>
              <w:t>запремине од 16 до 24 м</w:t>
            </w:r>
            <w:r>
              <w:rPr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en-GB"/>
              </w:rPr>
              <w:t>200</w:t>
            </w:r>
            <w:r w:rsidRPr="001A421B">
              <w:rPr>
                <w:sz w:val="22"/>
                <w:szCs w:val="22"/>
                <w:lang w:val="sr-Cyrl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</w:t>
            </w:r>
            <w:r>
              <w:rPr>
                <w:sz w:val="22"/>
                <w:szCs w:val="22"/>
                <w:lang w:val="sr-Latn-BA"/>
              </w:rPr>
              <w:t xml:space="preserve">пецијално теретно </w:t>
            </w:r>
            <w:r>
              <w:rPr>
                <w:sz w:val="22"/>
                <w:szCs w:val="22"/>
                <w:lang w:val="sr-Cyrl-BA"/>
              </w:rPr>
              <w:t xml:space="preserve">моторно </w:t>
            </w:r>
            <w:r>
              <w:rPr>
                <w:sz w:val="22"/>
                <w:szCs w:val="22"/>
                <w:lang w:val="sr-Latn-BA"/>
              </w:rPr>
              <w:t xml:space="preserve">возило за </w:t>
            </w:r>
            <w:r>
              <w:rPr>
                <w:sz w:val="22"/>
                <w:szCs w:val="22"/>
                <w:lang w:val="sr-Cyrl-BA"/>
              </w:rPr>
              <w:t xml:space="preserve">прикупљање и одвожење комуналног </w:t>
            </w:r>
            <w:r w:rsidRPr="001A421B">
              <w:rPr>
                <w:sz w:val="22"/>
                <w:szCs w:val="22"/>
                <w:lang w:val="sr-Cyrl-BA"/>
              </w:rPr>
              <w:t>отпада</w:t>
            </w:r>
            <w:r>
              <w:rPr>
                <w:sz w:val="22"/>
                <w:szCs w:val="22"/>
                <w:lang w:val="sr-Latn-BA"/>
              </w:rPr>
              <w:t>, запремине од 12 до 16 м</w:t>
            </w:r>
            <w:r>
              <w:rPr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1</w:t>
            </w:r>
            <w:r>
              <w:rPr>
                <w:sz w:val="22"/>
                <w:szCs w:val="22"/>
                <w:lang w:val="en-GB"/>
              </w:rPr>
              <w:t>50</w:t>
            </w:r>
            <w:r>
              <w:rPr>
                <w:sz w:val="22"/>
                <w:szCs w:val="22"/>
                <w:lang w:val="sr-Latn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 xml:space="preserve">Специјално теретно </w:t>
            </w:r>
            <w:r>
              <w:rPr>
                <w:sz w:val="22"/>
                <w:szCs w:val="22"/>
                <w:lang w:val="sr-Cyrl-BA"/>
              </w:rPr>
              <w:t xml:space="preserve">моторно </w:t>
            </w:r>
            <w:r w:rsidRPr="001A421B">
              <w:rPr>
                <w:sz w:val="22"/>
                <w:szCs w:val="22"/>
                <w:lang w:val="sr-Cyrl-BA"/>
              </w:rPr>
              <w:t xml:space="preserve">возило за </w:t>
            </w:r>
            <w:r>
              <w:rPr>
                <w:sz w:val="22"/>
                <w:szCs w:val="22"/>
                <w:lang w:val="sr-Cyrl-BA"/>
              </w:rPr>
              <w:t xml:space="preserve">прикупљање и одвожење комуналног </w:t>
            </w:r>
            <w:r w:rsidRPr="001A421B">
              <w:rPr>
                <w:sz w:val="22"/>
                <w:szCs w:val="22"/>
                <w:lang w:val="sr-Cyrl-BA"/>
              </w:rPr>
              <w:t>отпада</w:t>
            </w:r>
            <w:r>
              <w:rPr>
                <w:sz w:val="22"/>
                <w:szCs w:val="22"/>
                <w:lang w:val="sr-Latn-BA"/>
              </w:rPr>
              <w:t>, запремине од 12 до 16 м</w:t>
            </w:r>
            <w:r>
              <w:rPr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1</w:t>
            </w:r>
            <w:r>
              <w:rPr>
                <w:sz w:val="22"/>
                <w:szCs w:val="22"/>
                <w:lang w:val="en-GB"/>
              </w:rPr>
              <w:t>50</w:t>
            </w:r>
            <w:r w:rsidRPr="00907992">
              <w:rPr>
                <w:sz w:val="22"/>
                <w:szCs w:val="22"/>
                <w:lang w:val="sr-Latn-BA"/>
              </w:rPr>
              <w:t>.000,00</w:t>
            </w:r>
          </w:p>
        </w:tc>
      </w:tr>
      <w:tr w:rsidR="00401F24" w:rsidRPr="001A421B" w:rsidTr="00401F24">
        <w:trPr>
          <w:trHeight w:val="5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Комунално возило намјењено за превоз, истовар и претовар контејнера запремине од </w:t>
            </w:r>
            <w:r>
              <w:rPr>
                <w:sz w:val="22"/>
                <w:szCs w:val="22"/>
                <w:lang w:val="en-GB"/>
              </w:rPr>
              <w:t>3</w:t>
            </w:r>
            <w:r>
              <w:rPr>
                <w:sz w:val="22"/>
                <w:szCs w:val="22"/>
                <w:lang w:val="sr-Cyrl-BA"/>
              </w:rPr>
              <w:t xml:space="preserve"> до </w:t>
            </w:r>
            <w:r>
              <w:rPr>
                <w:sz w:val="22"/>
                <w:szCs w:val="22"/>
                <w:lang w:val="en-GB"/>
              </w:rPr>
              <w:t>10</w:t>
            </w:r>
            <w:r>
              <w:rPr>
                <w:sz w:val="22"/>
                <w:szCs w:val="22"/>
                <w:lang w:val="sr-Cyrl-BA"/>
              </w:rPr>
              <w:t xml:space="preserve"> м3 (Аутоподизач)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100.000,00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Радови на уређењу пословних простора (санација крова, санација пословних простора и слично)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50.000,00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Контејнери запремине 1,1 м</w:t>
            </w:r>
            <w:r w:rsidRPr="001A421B">
              <w:rPr>
                <w:sz w:val="22"/>
                <w:szCs w:val="22"/>
                <w:vertAlign w:val="superscript"/>
                <w:lang w:val="sr-Cyrl-BA"/>
              </w:rPr>
              <w:t>3</w:t>
            </w:r>
            <w:r w:rsidRPr="001A421B">
              <w:rPr>
                <w:sz w:val="22"/>
                <w:szCs w:val="22"/>
                <w:lang w:val="sr-Cyrl-BA"/>
              </w:rPr>
              <w:t>-</w:t>
            </w:r>
            <w:r>
              <w:rPr>
                <w:sz w:val="22"/>
                <w:szCs w:val="22"/>
                <w:lang w:val="en-GB"/>
              </w:rPr>
              <w:t>5</w:t>
            </w:r>
            <w:r w:rsidRPr="001A421B">
              <w:rPr>
                <w:sz w:val="22"/>
                <w:szCs w:val="22"/>
                <w:lang w:val="sr-Cyrl-BA"/>
              </w:rPr>
              <w:t>0 комада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en-GB"/>
              </w:rPr>
              <w:t>50</w:t>
            </w:r>
            <w:r w:rsidRPr="001A421B">
              <w:rPr>
                <w:sz w:val="22"/>
                <w:szCs w:val="22"/>
                <w:lang w:val="sr-Cyrl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6A684B" w:rsidRDefault="00401F24" w:rsidP="00401F24">
            <w:pPr>
              <w:rPr>
                <w:noProof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Теретно моторно возило до </w:t>
            </w:r>
            <w:r>
              <w:rPr>
                <w:sz w:val="22"/>
                <w:szCs w:val="22"/>
                <w:lang w:val="en-GB"/>
              </w:rPr>
              <w:t>3,5</w:t>
            </w:r>
            <w:r>
              <w:rPr>
                <w:sz w:val="22"/>
                <w:szCs w:val="22"/>
                <w:lang w:val="sr-Cyrl-BA"/>
              </w:rPr>
              <w:t xml:space="preserve"> тона носивости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40.000,00</w:t>
            </w:r>
          </w:p>
        </w:tc>
      </w:tr>
      <w:tr w:rsidR="00401F24" w:rsidRPr="002F410E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Надоградња за специјално комун</w:t>
            </w:r>
            <w:r>
              <w:rPr>
                <w:sz w:val="22"/>
                <w:szCs w:val="22"/>
                <w:lang w:val="en-GB"/>
              </w:rPr>
              <w:t>a</w:t>
            </w:r>
            <w:r>
              <w:rPr>
                <w:sz w:val="22"/>
                <w:szCs w:val="22"/>
                <w:lang w:val="sr-Cyrl-BA"/>
              </w:rPr>
              <w:t>лно возило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40.000,00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322501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Комбинован</w:t>
            </w:r>
            <w:r>
              <w:rPr>
                <w:sz w:val="22"/>
                <w:szCs w:val="22"/>
                <w:lang w:val="en-GB"/>
              </w:rPr>
              <w:t>a</w:t>
            </w:r>
            <w:r>
              <w:rPr>
                <w:sz w:val="22"/>
                <w:szCs w:val="22"/>
                <w:lang w:val="sr-Cyrl-BA"/>
              </w:rPr>
              <w:t xml:space="preserve"> грађевинска машина ровокопач-утоваривач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EF7239" w:rsidRDefault="00401F24" w:rsidP="00401F24">
            <w:pPr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  <w:r>
              <w:rPr>
                <w:sz w:val="22"/>
                <w:szCs w:val="22"/>
                <w:lang w:val="sr-Cyrl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Возило „Б“ категорије за превоз радника са минимално 7+1 сједишта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25</w:t>
            </w:r>
            <w:r w:rsidRPr="001A421B">
              <w:rPr>
                <w:sz w:val="22"/>
                <w:szCs w:val="22"/>
                <w:lang w:val="sr-Cyrl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Реконструкција тоалета у пијаци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20.000,00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Дробилица за стаклену амбалажу са покретном траком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20.000,00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 xml:space="preserve">Уређај за </w:t>
            </w:r>
            <w:r>
              <w:rPr>
                <w:sz w:val="22"/>
                <w:szCs w:val="22"/>
                <w:lang w:val="sr-Cyrl-BA"/>
              </w:rPr>
              <w:t>евиденцију</w:t>
            </w:r>
            <w:r w:rsidRPr="001A421B">
              <w:rPr>
                <w:sz w:val="22"/>
                <w:szCs w:val="22"/>
                <w:lang w:val="sr-Cyrl-BA"/>
              </w:rPr>
              <w:t xml:space="preserve"> радног времена и контролу приступа са софтвером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15.000,00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Мотоцикл за пражњење уличних канти и жардињера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1</w:t>
            </w:r>
            <w:r>
              <w:rPr>
                <w:sz w:val="22"/>
                <w:szCs w:val="22"/>
                <w:lang w:val="en-GB"/>
              </w:rPr>
              <w:t>0</w:t>
            </w:r>
            <w:r w:rsidRPr="001A421B">
              <w:rPr>
                <w:sz w:val="22"/>
                <w:szCs w:val="22"/>
                <w:lang w:val="sr-Cyrl-BA"/>
              </w:rPr>
              <w:t>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Проширење радионице у Служби комуналних услуга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10.000,00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Тракторска приколица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8.000,00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Набавка видео надзора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6.000,00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Замјена олука на радионици и гаражама за паркирање специјалних комуналних возила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5.000,00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Клима уређај – 5 комада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5.000,00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Компјутери са лиценцираним оператив</w:t>
            </w:r>
            <w:r>
              <w:rPr>
                <w:sz w:val="22"/>
                <w:szCs w:val="22"/>
                <w:lang w:val="sr-Cyrl-BA"/>
              </w:rPr>
              <w:t xml:space="preserve">ним системом </w:t>
            </w:r>
            <w:r>
              <w:rPr>
                <w:sz w:val="22"/>
                <w:szCs w:val="22"/>
                <w:lang w:val="sr-Latn-BA"/>
              </w:rPr>
              <w:t>Windows</w:t>
            </w:r>
            <w:r>
              <w:rPr>
                <w:sz w:val="22"/>
                <w:szCs w:val="22"/>
                <w:lang w:val="sr-Cyrl-BA"/>
              </w:rPr>
              <w:t xml:space="preserve">– </w:t>
            </w:r>
            <w:r>
              <w:rPr>
                <w:sz w:val="22"/>
                <w:szCs w:val="22"/>
                <w:lang w:val="sr-Latn-BA"/>
              </w:rPr>
              <w:t>4</w:t>
            </w:r>
            <w:r w:rsidRPr="001A421B">
              <w:rPr>
                <w:sz w:val="22"/>
                <w:szCs w:val="22"/>
                <w:lang w:val="sr-Cyrl-BA"/>
              </w:rPr>
              <w:t xml:space="preserve"> комада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5.000,00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Апликација за књиговодствене програме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5.000,00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Витло-чекрк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4.000,00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Прикључак за трактор – сврдло за бушење рупа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4.000,00</w:t>
            </w:r>
          </w:p>
        </w:tc>
      </w:tr>
      <w:tr w:rsidR="003D6B17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B17" w:rsidRPr="001A421B" w:rsidRDefault="003D6B17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B17" w:rsidRPr="001A421B" w:rsidRDefault="003D6B17" w:rsidP="000D0A9C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Машина за суђе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B17" w:rsidRPr="001A421B" w:rsidRDefault="003D6B17" w:rsidP="000D0A9C">
            <w:pPr>
              <w:jc w:val="right"/>
              <w:rPr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4.000,00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 xml:space="preserve">Штампачи – 5 комада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4.000,00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Прикључак за трактор-даска за чишћење снијега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3.000,00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Канцеларијски намјештај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3.000,00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Набавка "Microsoft office" пакета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2.500,00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Машина за гуљење кромпир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2.500,00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Моторна коса – Тример х 2 комада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2.400,00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/>
              </w:rPr>
              <w:t>Моторна ко</w:t>
            </w:r>
            <w:r>
              <w:rPr>
                <w:sz w:val="22"/>
                <w:szCs w:val="22"/>
                <w:lang w:val="sr-Cyrl-BA"/>
              </w:rPr>
              <w:t>сачица</w:t>
            </w:r>
            <w:r>
              <w:rPr>
                <w:sz w:val="22"/>
                <w:szCs w:val="22"/>
                <w:lang/>
              </w:rPr>
              <w:t xml:space="preserve"> – ручна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2.000,00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E437D3" w:rsidRDefault="00401F24" w:rsidP="00401F2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Прикључак за молтокултиватор – фреза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1.500,00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Default="00401F24" w:rsidP="00401F24">
            <w:pPr>
              <w:rPr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  <w:lang w:val="sr-Cyrl-BA"/>
              </w:rPr>
              <w:t>Моторни дувач лишћа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EB4F76" w:rsidRDefault="00401F24" w:rsidP="00401F24">
            <w:pPr>
              <w:jc w:val="righ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BA"/>
              </w:rPr>
              <w:t>1.000,00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color w:val="000000"/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Монитор – 3 комада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1.000,00</w:t>
            </w:r>
          </w:p>
        </w:tc>
      </w:tr>
      <w:tr w:rsidR="00401F24" w:rsidRPr="001A421B" w:rsidTr="00401F24">
        <w:trPr>
          <w:trHeight w:val="23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numPr>
                <w:ilvl w:val="0"/>
                <w:numId w:val="27"/>
              </w:numPr>
              <w:suppressAutoHyphens/>
              <w:snapToGrid w:val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Скенер уређај – 3 комада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F24" w:rsidRPr="001A421B" w:rsidRDefault="00401F24" w:rsidP="00401F24">
            <w:pPr>
              <w:jc w:val="right"/>
              <w:rPr>
                <w:sz w:val="22"/>
                <w:szCs w:val="22"/>
                <w:lang w:val="sr-Cyrl-BA"/>
              </w:rPr>
            </w:pPr>
            <w:r w:rsidRPr="001A421B">
              <w:rPr>
                <w:sz w:val="22"/>
                <w:szCs w:val="22"/>
                <w:lang w:val="sr-Cyrl-BA"/>
              </w:rPr>
              <w:t>600,00</w:t>
            </w:r>
          </w:p>
        </w:tc>
      </w:tr>
      <w:tr w:rsidR="00401F24" w:rsidRPr="001A421B" w:rsidTr="00401F24">
        <w:trPr>
          <w:trHeight w:val="399"/>
        </w:trPr>
        <w:tc>
          <w:tcPr>
            <w:tcW w:w="7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01F24" w:rsidRPr="001A421B" w:rsidRDefault="00401F24" w:rsidP="00401F24">
            <w:pPr>
              <w:jc w:val="right"/>
              <w:rPr>
                <w:b/>
                <w:sz w:val="22"/>
                <w:szCs w:val="22"/>
                <w:lang w:val="sr-Cyrl-BA"/>
              </w:rPr>
            </w:pPr>
            <w:r w:rsidRPr="001A421B">
              <w:rPr>
                <w:b/>
                <w:sz w:val="22"/>
                <w:szCs w:val="22"/>
                <w:lang w:val="sr-Cyrl-BA"/>
              </w:rPr>
              <w:t>УКУПНА ПРОЦИЈЕЊЕНА ВРИЈЕДНОСТ ИНВЕСТИЦИЈА: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401F24" w:rsidRPr="003D6B17" w:rsidRDefault="00197D20" w:rsidP="00401F24">
            <w:pPr>
              <w:jc w:val="right"/>
              <w:rPr>
                <w:lang w:val="sr-Cyrl-BA"/>
              </w:rPr>
            </w:pPr>
            <w:r>
              <w:rPr>
                <w:b/>
                <w:sz w:val="22"/>
                <w:szCs w:val="22"/>
                <w:lang w:val="en-GB"/>
              </w:rPr>
              <w:fldChar w:fldCharType="begin"/>
            </w:r>
            <w:r w:rsidR="003D6B17">
              <w:rPr>
                <w:b/>
                <w:sz w:val="22"/>
                <w:szCs w:val="22"/>
                <w:lang w:val="en-GB"/>
              </w:rPr>
              <w:instrText xml:space="preserve"> =SUM(ABOVE) </w:instrText>
            </w:r>
            <w:r>
              <w:rPr>
                <w:b/>
                <w:sz w:val="22"/>
                <w:szCs w:val="22"/>
                <w:lang w:val="en-GB"/>
              </w:rPr>
              <w:fldChar w:fldCharType="separate"/>
            </w:r>
            <w:r w:rsidR="003D6B17">
              <w:rPr>
                <w:b/>
                <w:noProof/>
                <w:sz w:val="22"/>
                <w:szCs w:val="22"/>
                <w:lang w:val="en-GB"/>
              </w:rPr>
              <w:t>989.500</w:t>
            </w:r>
            <w:r>
              <w:rPr>
                <w:b/>
                <w:sz w:val="22"/>
                <w:szCs w:val="22"/>
                <w:lang w:val="en-GB"/>
              </w:rPr>
              <w:fldChar w:fldCharType="end"/>
            </w:r>
            <w:r w:rsidR="003D6B17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</w:tbl>
    <w:p w:rsidR="00401F24" w:rsidRDefault="00401F24" w:rsidP="00401F24">
      <w:pPr>
        <w:jc w:val="both"/>
        <w:rPr>
          <w:lang w:val="sr-Cyrl-CS"/>
        </w:rPr>
      </w:pPr>
    </w:p>
    <w:p w:rsidR="00401F24" w:rsidRPr="00C16B77" w:rsidRDefault="00401F24" w:rsidP="00401F24">
      <w:pPr>
        <w:jc w:val="both"/>
        <w:rPr>
          <w:lang w:val="sr-Cyrl-CS"/>
        </w:rPr>
      </w:pPr>
    </w:p>
    <w:p w:rsidR="006113DE" w:rsidRPr="009129D1" w:rsidRDefault="006113DE" w:rsidP="006113DE">
      <w:pPr>
        <w:pStyle w:val="NoSpacing"/>
        <w:rPr>
          <w:sz w:val="16"/>
          <w:szCs w:val="16"/>
          <w:lang/>
        </w:rPr>
      </w:pPr>
    </w:p>
    <w:p w:rsidR="004A43D1" w:rsidRDefault="009129D1" w:rsidP="000B6A7A">
      <w:pPr>
        <w:pStyle w:val="NoSpacing"/>
        <w:ind w:firstLine="720"/>
        <w:jc w:val="both"/>
        <w:rPr>
          <w:lang w:val="sr-Latn-CS"/>
        </w:rPr>
      </w:pPr>
      <w:r>
        <w:rPr>
          <w:lang w:val="sr-Cyrl-BA"/>
        </w:rPr>
        <w:lastRenderedPageBreak/>
        <w:t>Укупна</w:t>
      </w:r>
      <w:r w:rsidR="004A43D1">
        <w:rPr>
          <w:lang w:val="sr-Cyrl-BA"/>
        </w:rPr>
        <w:t xml:space="preserve"> </w:t>
      </w:r>
      <w:r>
        <w:rPr>
          <w:lang w:val="sr-Cyrl-BA"/>
        </w:rPr>
        <w:t>инвестициона</w:t>
      </w:r>
      <w:r w:rsidR="004A43D1">
        <w:rPr>
          <w:lang w:val="sr-Cyrl-BA"/>
        </w:rPr>
        <w:t xml:space="preserve"> </w:t>
      </w:r>
      <w:r>
        <w:rPr>
          <w:lang w:val="sr-Cyrl-BA"/>
        </w:rPr>
        <w:t>улагања</w:t>
      </w:r>
      <w:r w:rsidR="004A43D1">
        <w:rPr>
          <w:lang w:val="sr-Cyrl-BA"/>
        </w:rPr>
        <w:t xml:space="preserve"> </w:t>
      </w:r>
      <w:r>
        <w:rPr>
          <w:lang w:val="sr-Cyrl-BA"/>
        </w:rPr>
        <w:t>према</w:t>
      </w:r>
      <w:r w:rsidR="004A43D1">
        <w:rPr>
          <w:lang w:val="sr-Latn-BA"/>
        </w:rPr>
        <w:t xml:space="preserve"> </w:t>
      </w:r>
      <w:r>
        <w:rPr>
          <w:lang w:val="sr-Latn-BA"/>
        </w:rPr>
        <w:t>овом</w:t>
      </w:r>
      <w:r w:rsidR="004A43D1">
        <w:rPr>
          <w:lang w:val="sr-Latn-BA"/>
        </w:rPr>
        <w:t xml:space="preserve"> </w:t>
      </w:r>
      <w:r>
        <w:rPr>
          <w:lang w:val="sr-Cyrl-BA"/>
        </w:rPr>
        <w:t>Плану</w:t>
      </w:r>
      <w:r w:rsidR="004A43D1" w:rsidRPr="00A869A4">
        <w:rPr>
          <w:lang w:val="sr-Cyrl-BA"/>
        </w:rPr>
        <w:t xml:space="preserve"> </w:t>
      </w:r>
      <w:r>
        <w:rPr>
          <w:lang w:val="sr-Latn-BA"/>
        </w:rPr>
        <w:t>инвестиција</w:t>
      </w:r>
      <w:r w:rsidR="004A43D1">
        <w:rPr>
          <w:lang w:val="sr-Latn-BA"/>
        </w:rPr>
        <w:t xml:space="preserve"> </w:t>
      </w:r>
      <w:r>
        <w:rPr>
          <w:lang w:val="sr-Latn-BA"/>
        </w:rPr>
        <w:t>за</w:t>
      </w:r>
      <w:r w:rsidR="004A43D1">
        <w:rPr>
          <w:lang w:val="sr-Latn-BA"/>
        </w:rPr>
        <w:t xml:space="preserve"> 202</w:t>
      </w:r>
      <w:r w:rsidR="00401F24">
        <w:rPr>
          <w:lang w:val="sr-Cyrl-BA"/>
        </w:rPr>
        <w:t>5</w:t>
      </w:r>
      <w:r w:rsidR="004A43D1">
        <w:rPr>
          <w:lang w:val="sr-Latn-BA"/>
        </w:rPr>
        <w:t xml:space="preserve">. </w:t>
      </w:r>
      <w:r>
        <w:rPr>
          <w:lang w:val="sr-Latn-BA"/>
        </w:rPr>
        <w:t>годину</w:t>
      </w:r>
      <w:r w:rsidR="004A43D1">
        <w:rPr>
          <w:lang w:val="sr-Latn-BA"/>
        </w:rPr>
        <w:t xml:space="preserve"> </w:t>
      </w:r>
      <w:r>
        <w:rPr>
          <w:lang w:val="sr-Cyrl-BA"/>
        </w:rPr>
        <w:t>износ</w:t>
      </w:r>
      <w:r>
        <w:rPr>
          <w:lang w:val="sr-Latn-BA"/>
        </w:rPr>
        <w:t>е</w:t>
      </w:r>
      <w:r w:rsidR="003374A4">
        <w:rPr>
          <w:lang w:val="sr-Cyrl-BA"/>
        </w:rPr>
        <w:t xml:space="preserve"> </w:t>
      </w:r>
      <w:r w:rsidR="003D6B17">
        <w:rPr>
          <w:lang w:val="sr-Cyrl-BA"/>
        </w:rPr>
        <w:t>989</w:t>
      </w:r>
      <w:r w:rsidR="00401F24">
        <w:rPr>
          <w:lang w:val="sr-Latn-BA"/>
        </w:rPr>
        <w:t>.</w:t>
      </w:r>
      <w:r w:rsidR="00401F24">
        <w:rPr>
          <w:lang w:val="sr-Cyrl-BA"/>
        </w:rPr>
        <w:t>5</w:t>
      </w:r>
      <w:r w:rsidR="0002406F">
        <w:rPr>
          <w:lang w:val="sr-Cyrl-BA"/>
        </w:rPr>
        <w:t>00,00</w:t>
      </w:r>
      <w:r w:rsidR="004A43D1">
        <w:rPr>
          <w:lang w:val="sr-Latn-CS"/>
        </w:rPr>
        <w:t xml:space="preserve"> </w:t>
      </w:r>
      <w:r>
        <w:rPr>
          <w:lang w:val="sr-Latn-BA"/>
        </w:rPr>
        <w:t>КМ</w:t>
      </w:r>
      <w:r w:rsidR="004A43D1" w:rsidRPr="00A869A4">
        <w:rPr>
          <w:lang w:val="sr-Cyrl-BA"/>
        </w:rPr>
        <w:t>.</w:t>
      </w:r>
      <w:r w:rsidR="004A43D1" w:rsidRPr="00A869A4">
        <w:rPr>
          <w:lang w:val="sr-Latn-CS"/>
        </w:rPr>
        <w:t xml:space="preserve"> </w:t>
      </w:r>
      <w:r w:rsidR="0002406F">
        <w:rPr>
          <w:lang w:val="sr-Cyrl-BA"/>
        </w:rPr>
        <w:t xml:space="preserve">Укупан износ инвестиционих улагања планиран је да се финансира из </w:t>
      </w:r>
      <w:r>
        <w:rPr>
          <w:lang w:val="sr-Latn-CS"/>
        </w:rPr>
        <w:t>текућих</w:t>
      </w:r>
      <w:r w:rsidR="004A43D1" w:rsidRPr="00A869A4">
        <w:rPr>
          <w:lang w:val="sr-Latn-CS"/>
        </w:rPr>
        <w:t xml:space="preserve"> </w:t>
      </w:r>
      <w:r>
        <w:rPr>
          <w:lang w:val="sr-Latn-CS"/>
        </w:rPr>
        <w:t>средстава</w:t>
      </w:r>
      <w:r w:rsidR="004A43D1" w:rsidRPr="00A869A4">
        <w:rPr>
          <w:lang w:val="sr-Latn-CS"/>
        </w:rPr>
        <w:t>.</w:t>
      </w:r>
      <w:r w:rsidR="004A43D1">
        <w:rPr>
          <w:lang w:val="sr-Latn-CS"/>
        </w:rPr>
        <w:t xml:space="preserve"> </w:t>
      </w:r>
    </w:p>
    <w:p w:rsidR="00662DA8" w:rsidRPr="002867C5" w:rsidRDefault="009129D1" w:rsidP="002867C5">
      <w:pPr>
        <w:pStyle w:val="Heading1"/>
        <w:ind w:left="567" w:hanging="567"/>
        <w:rPr>
          <w:rFonts w:ascii="Times New Roman" w:hAnsi="Times New Roman"/>
          <w:sz w:val="24"/>
          <w:szCs w:val="24"/>
          <w:lang w:val="sr-Latn-CS"/>
        </w:rPr>
      </w:pPr>
      <w:bookmarkStart w:id="10" w:name="_Toc351725961"/>
      <w:bookmarkStart w:id="11" w:name="_Toc153538041"/>
      <w:r>
        <w:rPr>
          <w:rFonts w:ascii="Times New Roman" w:hAnsi="Times New Roman"/>
          <w:sz w:val="24"/>
          <w:szCs w:val="24"/>
          <w:lang w:val="sr-Latn-CS"/>
        </w:rPr>
        <w:t>VI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Latn-CS"/>
        </w:rPr>
        <w:t>МЈЕРЕ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ЗАШТИТЕ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ЖИВОТНЕ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РАДНЕ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СРЕДИНЕ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>,</w:t>
      </w:r>
      <w:r w:rsidR="00415104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ЗАШТИТЕ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НА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РАДУ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ЗАШТИТЕ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ОД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ПОЖАРА</w:t>
      </w:r>
      <w:bookmarkEnd w:id="10"/>
      <w:bookmarkEnd w:id="11"/>
    </w:p>
    <w:p w:rsidR="00BF6C21" w:rsidRPr="009A156B" w:rsidRDefault="00BF6C21" w:rsidP="001E3A06">
      <w:pPr>
        <w:pStyle w:val="NoSpacing"/>
        <w:rPr>
          <w:lang w:val="sr-Latn-CS"/>
        </w:rPr>
      </w:pPr>
    </w:p>
    <w:p w:rsidR="00662DA8" w:rsidRPr="00EB3B89" w:rsidRDefault="009129D1" w:rsidP="006113DE">
      <w:pPr>
        <w:ind w:firstLine="720"/>
        <w:jc w:val="both"/>
        <w:rPr>
          <w:lang w:val="sr-Latn-CS"/>
        </w:rPr>
      </w:pP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складу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донијетим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годишњим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програмом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животне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средине</w:t>
      </w:r>
      <w:r w:rsidR="0004580B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спровести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конкретне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плану</w:t>
      </w:r>
      <w:r w:rsidR="00662DA8" w:rsidRPr="00EB3B89">
        <w:rPr>
          <w:lang w:val="sr-Latn-CS"/>
        </w:rPr>
        <w:t>: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физичког</w:t>
      </w:r>
      <w:r w:rsidR="005D2435" w:rsidRPr="00EB3B89">
        <w:rPr>
          <w:lang w:val="sr-Latn-CS"/>
        </w:rPr>
        <w:t xml:space="preserve"> </w:t>
      </w:r>
      <w:r>
        <w:rPr>
          <w:lang w:val="sr-Latn-CS"/>
        </w:rPr>
        <w:t>обезбјеђења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објеката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имовине</w:t>
      </w:r>
      <w:r w:rsidR="00662DA8" w:rsidRPr="00EB3B89">
        <w:rPr>
          <w:lang w:val="sr-Latn-CS"/>
        </w:rPr>
        <w:t xml:space="preserve"> </w:t>
      </w:r>
      <w:r>
        <w:rPr>
          <w:lang w:val="sr-Cyrl-BA"/>
        </w:rPr>
        <w:t>АД</w:t>
      </w:r>
      <w:r w:rsidR="00920F60" w:rsidRPr="00A869A4">
        <w:rPr>
          <w:lang w:val="sr-Cyrl-BA"/>
        </w:rPr>
        <w:t xml:space="preserve"> „</w:t>
      </w:r>
      <w:r>
        <w:rPr>
          <w:lang w:val="sr-Cyrl-BA"/>
        </w:rPr>
        <w:t>Комуналац</w:t>
      </w:r>
      <w:r w:rsidR="00920F60" w:rsidRPr="00A869A4">
        <w:rPr>
          <w:lang w:val="sr-Cyrl-BA"/>
        </w:rPr>
        <w:t xml:space="preserve">“ </w:t>
      </w:r>
      <w:r>
        <w:rPr>
          <w:lang w:val="sr-Cyrl-BA"/>
        </w:rPr>
        <w:t>Бијељина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одржавање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хигијене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просторија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хигијене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градских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саобраћајница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тргова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паркова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цвијетних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засада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градског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зеленила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обезбјеђење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личне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колективне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раду</w:t>
      </w:r>
      <w:r w:rsidR="0004580B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путем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обавезне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примјене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личних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средстава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опреме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обучавање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оспособљавање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запослених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радника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предузимању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раду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провођење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пожара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набавке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средстава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опреме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гашење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пожара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обуке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запослених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примјени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противпожарне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заштите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извршење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редовне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контроле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исправности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ватрогасних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апарата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хидрантске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опреме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испитивања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мјерења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уземљења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громобранских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инсталација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исправности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електро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инсталација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прегледа</w:t>
      </w:r>
      <w:r w:rsidR="0004580B" w:rsidRPr="00EB3B89">
        <w:rPr>
          <w:lang w:val="sr-Latn-CS"/>
        </w:rPr>
        <w:t xml:space="preserve"> </w:t>
      </w:r>
      <w:r>
        <w:rPr>
          <w:lang w:val="sr-Latn-CS"/>
        </w:rPr>
        <w:t>исправности</w:t>
      </w:r>
      <w:r w:rsidR="0004580B" w:rsidRPr="00EB3B89">
        <w:rPr>
          <w:lang w:val="sr-Latn-CS"/>
        </w:rPr>
        <w:t xml:space="preserve"> 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других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ситних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уређаја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извршиће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специјалистички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љекарски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преглед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радника</w:t>
      </w:r>
      <w:r w:rsidR="0004580B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распоређених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мјестима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посебним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условима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рада</w:t>
      </w:r>
      <w:r w:rsidR="00662DA8" w:rsidRPr="00EB3B89">
        <w:rPr>
          <w:lang w:val="sr-Latn-CS"/>
        </w:rPr>
        <w:t xml:space="preserve"> (</w:t>
      </w:r>
      <w:r>
        <w:rPr>
          <w:lang w:val="sr-Latn-CS"/>
        </w:rPr>
        <w:t>возачи</w:t>
      </w:r>
      <w:r w:rsidR="00662DA8" w:rsidRPr="00EB3B89">
        <w:rPr>
          <w:lang w:val="sr-Latn-CS"/>
        </w:rPr>
        <w:t xml:space="preserve">, </w:t>
      </w:r>
      <w:r>
        <w:rPr>
          <w:lang w:val="sr-Latn-CS"/>
        </w:rPr>
        <w:t>руковаоци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специјалних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возила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уређаја</w:t>
      </w:r>
      <w:r w:rsidR="00662DA8" w:rsidRPr="00EB3B89">
        <w:rPr>
          <w:lang w:val="sr-Latn-CS"/>
        </w:rPr>
        <w:t>).</w:t>
      </w:r>
    </w:p>
    <w:p w:rsidR="00662DA8" w:rsidRPr="002867C5" w:rsidRDefault="009129D1" w:rsidP="009A156B">
      <w:pPr>
        <w:pStyle w:val="Heading1"/>
        <w:rPr>
          <w:rFonts w:ascii="Times New Roman" w:hAnsi="Times New Roman"/>
          <w:sz w:val="24"/>
          <w:szCs w:val="24"/>
          <w:lang w:val="sr-Latn-CS"/>
        </w:rPr>
      </w:pPr>
      <w:bookmarkStart w:id="12" w:name="_Toc351725962"/>
      <w:bookmarkStart w:id="13" w:name="_Toc153538042"/>
      <w:r>
        <w:rPr>
          <w:rFonts w:ascii="Times New Roman" w:hAnsi="Times New Roman"/>
          <w:sz w:val="24"/>
          <w:szCs w:val="24"/>
          <w:lang w:val="sr-Latn-CS"/>
        </w:rPr>
        <w:t>VII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Latn-CS"/>
        </w:rPr>
        <w:t>ОСТВАРИВАЊЕ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РЕГИСТРОВАНИХ</w:t>
      </w:r>
      <w:r w:rsidR="00662DA8"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ДЈЕЛАТНОСТИ</w:t>
      </w:r>
      <w:bookmarkEnd w:id="12"/>
      <w:bookmarkEnd w:id="13"/>
    </w:p>
    <w:p w:rsidR="00BF6C21" w:rsidRPr="001E3A06" w:rsidRDefault="00BF6C21" w:rsidP="00662DA8">
      <w:pPr>
        <w:jc w:val="both"/>
        <w:rPr>
          <w:sz w:val="16"/>
          <w:szCs w:val="16"/>
          <w:lang w:val="sr-Latn-CS"/>
        </w:rPr>
      </w:pPr>
    </w:p>
    <w:p w:rsidR="00662DA8" w:rsidRPr="00EB3B89" w:rsidRDefault="009129D1" w:rsidP="00920F60">
      <w:pPr>
        <w:ind w:firstLine="720"/>
        <w:jc w:val="both"/>
        <w:rPr>
          <w:lang w:val="sr-Latn-CS"/>
        </w:rPr>
      </w:pPr>
      <w:r>
        <w:rPr>
          <w:lang w:val="sr-Latn-CS"/>
        </w:rPr>
        <w:t>Одлуком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конституисању</w:t>
      </w:r>
      <w:r w:rsidR="00662DA8" w:rsidRPr="00EB3B89">
        <w:rPr>
          <w:lang w:val="sr-Latn-CS"/>
        </w:rPr>
        <w:t xml:space="preserve"> </w:t>
      </w:r>
      <w:r>
        <w:rPr>
          <w:lang w:val="sr-Cyrl-BA"/>
        </w:rPr>
        <w:t>АД</w:t>
      </w:r>
      <w:r w:rsidR="00920F60" w:rsidRPr="00A869A4">
        <w:rPr>
          <w:lang w:val="sr-Cyrl-BA"/>
        </w:rPr>
        <w:t xml:space="preserve"> „</w:t>
      </w:r>
      <w:r>
        <w:rPr>
          <w:lang w:val="sr-Cyrl-BA"/>
        </w:rPr>
        <w:t>Комуналац</w:t>
      </w:r>
      <w:r w:rsidR="00920F60" w:rsidRPr="00A869A4">
        <w:rPr>
          <w:lang w:val="sr-Cyrl-BA"/>
        </w:rPr>
        <w:t xml:space="preserve">“ </w:t>
      </w:r>
      <w:r>
        <w:rPr>
          <w:lang w:val="sr-Cyrl-BA"/>
        </w:rPr>
        <w:t>Бијељина</w:t>
      </w:r>
      <w:r w:rsidR="00C56A02">
        <w:rPr>
          <w:lang/>
        </w:rPr>
        <w:t xml:space="preserve"> (</w:t>
      </w:r>
      <w:r>
        <w:rPr>
          <w:lang/>
        </w:rPr>
        <w:t>у</w:t>
      </w:r>
      <w:r w:rsidR="00C56A02">
        <w:rPr>
          <w:lang/>
        </w:rPr>
        <w:t xml:space="preserve"> </w:t>
      </w:r>
      <w:r>
        <w:rPr>
          <w:lang/>
        </w:rPr>
        <w:t>даљем</w:t>
      </w:r>
      <w:r w:rsidR="00C56A02">
        <w:rPr>
          <w:lang/>
        </w:rPr>
        <w:t xml:space="preserve"> </w:t>
      </w:r>
      <w:r>
        <w:rPr>
          <w:lang/>
        </w:rPr>
        <w:t>тексту</w:t>
      </w:r>
      <w:r w:rsidR="00C56A02">
        <w:rPr>
          <w:lang/>
        </w:rPr>
        <w:t>: „</w:t>
      </w:r>
      <w:r>
        <w:rPr>
          <w:lang/>
        </w:rPr>
        <w:t>Друштво</w:t>
      </w:r>
      <w:r w:rsidR="00C56A02">
        <w:rPr>
          <w:lang/>
        </w:rPr>
        <w:t>“)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4A05BF">
        <w:rPr>
          <w:lang w:val="sr-Latn-CS"/>
        </w:rPr>
        <w:t xml:space="preserve"> </w:t>
      </w:r>
      <w:r>
        <w:rPr>
          <w:lang w:val="sr-Latn-CS"/>
        </w:rPr>
        <w:t>регистрацијом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дјелатности</w:t>
      </w:r>
      <w:r w:rsidR="0004580B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складу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законским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прописима</w:t>
      </w:r>
      <w:r w:rsidR="007C71A8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утврђене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све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дјелатности</w:t>
      </w:r>
      <w:r w:rsidR="0004580B" w:rsidRPr="00EB3B89">
        <w:rPr>
          <w:lang w:val="sr-Latn-CS"/>
        </w:rPr>
        <w:t>,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којима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Друштво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приоритетно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бави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ради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остваривања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добити</w:t>
      </w:r>
      <w:r w:rsidR="00662DA8" w:rsidRPr="00EB3B89">
        <w:rPr>
          <w:lang w:val="sr-Latn-CS"/>
        </w:rPr>
        <w:t>.</w:t>
      </w:r>
    </w:p>
    <w:p w:rsidR="00662DA8" w:rsidRPr="00EB3B89" w:rsidRDefault="009129D1" w:rsidP="00415104">
      <w:pPr>
        <w:ind w:firstLine="720"/>
        <w:jc w:val="both"/>
        <w:rPr>
          <w:lang w:val="sr-Latn-CS"/>
        </w:rPr>
      </w:pP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планском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периоду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оствариваће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сљедеће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активности</w:t>
      </w:r>
      <w:r w:rsidR="00662DA8" w:rsidRPr="00EB3B89">
        <w:rPr>
          <w:lang w:val="sr-Latn-CS"/>
        </w:rPr>
        <w:t>:</w:t>
      </w:r>
    </w:p>
    <w:p w:rsidR="00662DA8" w:rsidRPr="00EB3B89" w:rsidRDefault="009129D1" w:rsidP="006113DE">
      <w:pPr>
        <w:numPr>
          <w:ilvl w:val="0"/>
          <w:numId w:val="4"/>
        </w:numPr>
        <w:tabs>
          <w:tab w:val="clear" w:pos="480"/>
          <w:tab w:val="num" w:pos="851"/>
          <w:tab w:val="left" w:pos="993"/>
          <w:tab w:val="left" w:pos="1134"/>
        </w:tabs>
        <w:ind w:left="851" w:hanging="54"/>
        <w:jc w:val="both"/>
        <w:rPr>
          <w:lang w:val="sr-Latn-CS"/>
        </w:rPr>
      </w:pPr>
      <w:r>
        <w:rPr>
          <w:lang w:val="sr-Latn-CS"/>
        </w:rPr>
        <w:t>одвоз</w:t>
      </w:r>
      <w:r w:rsidR="000C7322">
        <w:rPr>
          <w:lang w:val="sr-Latn-CS"/>
        </w:rPr>
        <w:t xml:space="preserve"> </w:t>
      </w:r>
      <w:r>
        <w:rPr>
          <w:lang w:val="sr-Latn-CS"/>
        </w:rPr>
        <w:t>комуналног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отпада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4"/>
        </w:numPr>
        <w:tabs>
          <w:tab w:val="clear" w:pos="480"/>
          <w:tab w:val="num" w:pos="851"/>
          <w:tab w:val="left" w:pos="993"/>
          <w:tab w:val="left" w:pos="1134"/>
        </w:tabs>
        <w:ind w:left="851" w:hanging="54"/>
        <w:jc w:val="both"/>
        <w:rPr>
          <w:lang w:val="sr-Latn-CS"/>
        </w:rPr>
      </w:pPr>
      <w:r>
        <w:rPr>
          <w:lang w:val="sr-Latn-CS"/>
        </w:rPr>
        <w:t>одржавање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јавно</w:t>
      </w:r>
      <w:r w:rsidR="002867C5">
        <w:rPr>
          <w:lang w:val="sr-Latn-CS"/>
        </w:rPr>
        <w:t>-</w:t>
      </w:r>
      <w:r>
        <w:rPr>
          <w:lang w:val="sr-Latn-CS"/>
        </w:rPr>
        <w:t>прометних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површина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граду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4"/>
        </w:numPr>
        <w:tabs>
          <w:tab w:val="clear" w:pos="480"/>
          <w:tab w:val="num" w:pos="851"/>
          <w:tab w:val="left" w:pos="993"/>
          <w:tab w:val="left" w:pos="1134"/>
        </w:tabs>
        <w:ind w:left="851" w:hanging="54"/>
        <w:jc w:val="both"/>
        <w:rPr>
          <w:lang w:val="sr-Latn-CS"/>
        </w:rPr>
      </w:pPr>
      <w:r>
        <w:rPr>
          <w:lang w:val="sr-Latn-CS"/>
        </w:rPr>
        <w:t>одржавање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градског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зеленила</w:t>
      </w:r>
      <w:r w:rsidR="00662DA8" w:rsidRPr="00EB3B89">
        <w:rPr>
          <w:lang w:val="sr-Latn-CS"/>
        </w:rPr>
        <w:t>;</w:t>
      </w:r>
    </w:p>
    <w:p w:rsidR="00662DA8" w:rsidRPr="00EB3B89" w:rsidRDefault="009129D1" w:rsidP="006113DE">
      <w:pPr>
        <w:numPr>
          <w:ilvl w:val="0"/>
          <w:numId w:val="4"/>
        </w:numPr>
        <w:tabs>
          <w:tab w:val="clear" w:pos="480"/>
          <w:tab w:val="num" w:pos="851"/>
          <w:tab w:val="left" w:pos="993"/>
          <w:tab w:val="left" w:pos="1134"/>
        </w:tabs>
        <w:ind w:left="851" w:hanging="54"/>
        <w:jc w:val="both"/>
        <w:rPr>
          <w:lang w:val="sr-Latn-CS"/>
        </w:rPr>
      </w:pPr>
      <w:r>
        <w:rPr>
          <w:lang w:val="sr-Latn-CS"/>
        </w:rPr>
        <w:t>управљање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одржавање</w:t>
      </w:r>
      <w:r w:rsidR="00662DA8" w:rsidRPr="00EB3B89">
        <w:rPr>
          <w:lang w:val="sr-Latn-CS"/>
        </w:rPr>
        <w:t xml:space="preserve"> </w:t>
      </w:r>
      <w:r w:rsidR="002867C5">
        <w:rPr>
          <w:lang w:val="sr-Latn-CS"/>
        </w:rPr>
        <w:t>„</w:t>
      </w:r>
      <w:r>
        <w:rPr>
          <w:lang w:val="sr-Latn-CS"/>
        </w:rPr>
        <w:t>Зелене</w:t>
      </w:r>
      <w:r w:rsidR="00662DA8" w:rsidRPr="00EB3B89">
        <w:rPr>
          <w:lang w:val="sr-Latn-CS"/>
        </w:rPr>
        <w:t xml:space="preserve"> </w:t>
      </w:r>
      <w:r>
        <w:rPr>
          <w:lang w:val="sr-Latn-CS"/>
        </w:rPr>
        <w:t>пијаце</w:t>
      </w:r>
      <w:r w:rsidR="002867C5">
        <w:rPr>
          <w:lang w:val="sr-Latn-CS"/>
        </w:rPr>
        <w:t>“</w:t>
      </w:r>
      <w:r w:rsidR="00662DA8" w:rsidRPr="00EB3B89">
        <w:rPr>
          <w:lang w:val="sr-Latn-CS"/>
        </w:rPr>
        <w:t>;</w:t>
      </w:r>
    </w:p>
    <w:p w:rsidR="00C56A02" w:rsidRPr="00C15A6C" w:rsidRDefault="009129D1" w:rsidP="00C56A02">
      <w:pPr>
        <w:numPr>
          <w:ilvl w:val="0"/>
          <w:numId w:val="4"/>
        </w:numPr>
        <w:tabs>
          <w:tab w:val="clear" w:pos="480"/>
          <w:tab w:val="num" w:pos="851"/>
          <w:tab w:val="left" w:pos="993"/>
          <w:tab w:val="left" w:pos="1134"/>
        </w:tabs>
        <w:ind w:left="851" w:hanging="54"/>
        <w:jc w:val="both"/>
        <w:rPr>
          <w:lang w:val="sr-Latn-CS"/>
        </w:rPr>
      </w:pPr>
      <w:r w:rsidRPr="00C15A6C">
        <w:rPr>
          <w:lang w:val="sr-Latn-CS"/>
        </w:rPr>
        <w:t>пружање</w:t>
      </w:r>
      <w:r w:rsidR="007C71A8" w:rsidRPr="00C15A6C">
        <w:rPr>
          <w:lang w:val="sr-Latn-CS"/>
        </w:rPr>
        <w:t xml:space="preserve"> </w:t>
      </w:r>
      <w:r w:rsidRPr="00C15A6C">
        <w:rPr>
          <w:lang w:val="sr-Latn-CS"/>
        </w:rPr>
        <w:t>осталих</w:t>
      </w:r>
      <w:r w:rsidR="007C71A8" w:rsidRPr="00C15A6C">
        <w:rPr>
          <w:lang w:val="sr-Latn-CS"/>
        </w:rPr>
        <w:t xml:space="preserve"> </w:t>
      </w:r>
      <w:r w:rsidRPr="00C15A6C">
        <w:rPr>
          <w:lang w:val="sr-Latn-CS"/>
        </w:rPr>
        <w:t>комуналних</w:t>
      </w:r>
      <w:r w:rsidR="007C71A8" w:rsidRPr="00C15A6C">
        <w:rPr>
          <w:lang w:val="sr-Latn-CS"/>
        </w:rPr>
        <w:t xml:space="preserve"> </w:t>
      </w:r>
      <w:r w:rsidRPr="00C15A6C">
        <w:rPr>
          <w:lang w:val="sr-Latn-CS"/>
        </w:rPr>
        <w:t>услуга</w:t>
      </w:r>
      <w:r w:rsidR="00662DA8" w:rsidRPr="00C15A6C">
        <w:rPr>
          <w:lang w:val="sr-Latn-CS"/>
        </w:rPr>
        <w:t>.</w:t>
      </w:r>
      <w:bookmarkStart w:id="14" w:name="_Toc351725963"/>
    </w:p>
    <w:p w:rsidR="003B0B35" w:rsidRPr="003B0B35" w:rsidRDefault="003B0B35" w:rsidP="00C56A02">
      <w:pPr>
        <w:pStyle w:val="NoSpacing"/>
        <w:rPr>
          <w:lang w:val="sr-Cyrl-BA"/>
        </w:rPr>
        <w:sectPr w:rsidR="003B0B35" w:rsidRPr="003B0B35" w:rsidSect="003532B6">
          <w:footerReference w:type="even" r:id="rId9"/>
          <w:footerReference w:type="default" r:id="rId10"/>
          <w:footerReference w:type="first" r:id="rId11"/>
          <w:pgSz w:w="12240" w:h="15840" w:code="1"/>
          <w:pgMar w:top="1440" w:right="1800" w:bottom="1440" w:left="1800" w:header="720" w:footer="720" w:gutter="0"/>
          <w:pgNumType w:start="0"/>
          <w:cols w:space="720"/>
          <w:titlePg/>
          <w:docGrid w:linePitch="360"/>
        </w:sectPr>
      </w:pPr>
    </w:p>
    <w:p w:rsidR="006113DE" w:rsidRDefault="003B0B35" w:rsidP="00C56A02">
      <w:pPr>
        <w:pStyle w:val="NoSpacing"/>
        <w:rPr>
          <w:b/>
          <w:lang w:val="sr-Latn-CS"/>
        </w:rPr>
      </w:pPr>
      <w:r w:rsidRPr="00B72AC0">
        <w:rPr>
          <w:b/>
          <w:lang w:val="sr-Cyrl-BA"/>
        </w:rPr>
        <w:lastRenderedPageBreak/>
        <w:t>П</w:t>
      </w:r>
      <w:r w:rsidR="009129D1" w:rsidRPr="00B72AC0">
        <w:rPr>
          <w:b/>
          <w:lang w:val="sr-Latn-CS"/>
        </w:rPr>
        <w:t>ЛАН</w:t>
      </w:r>
      <w:r w:rsidR="00B354AB" w:rsidRPr="00B72AC0">
        <w:rPr>
          <w:b/>
          <w:lang w:val="sr-Latn-CS"/>
        </w:rPr>
        <w:t xml:space="preserve"> </w:t>
      </w:r>
      <w:r w:rsidR="009129D1" w:rsidRPr="00B72AC0">
        <w:rPr>
          <w:b/>
          <w:lang w:val="sr-Latn-CS"/>
        </w:rPr>
        <w:t>ПРИХОДА</w:t>
      </w:r>
      <w:r w:rsidR="006A54B3" w:rsidRPr="00B72AC0">
        <w:rPr>
          <w:b/>
          <w:lang w:val="sr-Latn-CS"/>
        </w:rPr>
        <w:t xml:space="preserve"> </w:t>
      </w:r>
      <w:r w:rsidR="009129D1" w:rsidRPr="00B72AC0">
        <w:rPr>
          <w:b/>
          <w:lang w:val="sr-Latn-CS"/>
        </w:rPr>
        <w:t>ЗА</w:t>
      </w:r>
      <w:r w:rsidRPr="00B72AC0">
        <w:rPr>
          <w:b/>
          <w:lang w:val="sr-Latn-CS"/>
        </w:rPr>
        <w:t xml:space="preserve"> 202</w:t>
      </w:r>
      <w:r w:rsidR="001B69BF">
        <w:rPr>
          <w:b/>
          <w:lang w:val="sr-Cyrl-BA"/>
        </w:rPr>
        <w:t>5</w:t>
      </w:r>
      <w:r w:rsidR="009B446A" w:rsidRPr="00B72AC0">
        <w:rPr>
          <w:b/>
          <w:lang w:val="sr-Latn-CS"/>
        </w:rPr>
        <w:t xml:space="preserve">. </w:t>
      </w:r>
      <w:r w:rsidR="009129D1" w:rsidRPr="00B72AC0">
        <w:rPr>
          <w:b/>
          <w:lang w:val="sr-Latn-CS"/>
        </w:rPr>
        <w:t>ГОДИНУ</w:t>
      </w:r>
      <w:bookmarkEnd w:id="14"/>
    </w:p>
    <w:p w:rsidR="008048D0" w:rsidRDefault="008048D0" w:rsidP="00C56A02">
      <w:pPr>
        <w:pStyle w:val="NoSpacing"/>
        <w:rPr>
          <w:b/>
          <w:lang w:val="sr-Latn-CS"/>
        </w:rPr>
      </w:pPr>
    </w:p>
    <w:tbl>
      <w:tblPr>
        <w:tblW w:w="14885" w:type="dxa"/>
        <w:tblInd w:w="-743" w:type="dxa"/>
        <w:tblLayout w:type="fixed"/>
        <w:tblLook w:val="04A0"/>
      </w:tblPr>
      <w:tblGrid>
        <w:gridCol w:w="567"/>
        <w:gridCol w:w="851"/>
        <w:gridCol w:w="6663"/>
        <w:gridCol w:w="1275"/>
        <w:gridCol w:w="1276"/>
        <w:gridCol w:w="1276"/>
        <w:gridCol w:w="992"/>
        <w:gridCol w:w="992"/>
        <w:gridCol w:w="993"/>
      </w:tblGrid>
      <w:tr w:rsidR="008048D0" w:rsidRPr="008048D0" w:rsidTr="0024673B">
        <w:trPr>
          <w:trHeight w:val="43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 xml:space="preserve">Конто 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Назив конта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План за 2024. годину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Процјена остварења 31.12.2024.</w:t>
            </w:r>
            <w:r>
              <w:rPr>
                <w:rStyle w:val="FootnoteReference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План за 2025. годину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Индекс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Индекс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% учешћа (6)</w:t>
            </w:r>
          </w:p>
        </w:tc>
      </w:tr>
      <w:tr w:rsidR="008048D0" w:rsidRPr="008048D0" w:rsidTr="0024673B">
        <w:trPr>
          <w:trHeight w:val="279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(6/4)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(6/5)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</w:tr>
      <w:tr w:rsidR="008048D0" w:rsidRPr="008048D0" w:rsidTr="0024673B">
        <w:trPr>
          <w:trHeight w:val="30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9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60150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продаје сталних средстава намијењених продаји-контејнери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2857,14%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60151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продаје сталних средстава (отписана средства) – поступак лицитације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19.600,00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51,02%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601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продаје робе у Републици Српској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19.950,00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160,00%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100,25%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0,26%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61106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продаје производа купцима из Републике Српске-расадник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85,71%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115,38%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0,39%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61115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продаје производа купцима из Републике Српске-услуге ресторана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184,62%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продаје производа у Републици Српској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26.650,00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31.200,00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86,67%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117,07%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0,41%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61206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продаје производа купцима из ФБиХ-расадник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продаје производа у Федерацији БиХ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РС-јавна хигијена Бијељина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391.000,00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130,16%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104,86%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5,36%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РС-одвоз отпада физ</w:t>
            </w:r>
            <w:r w:rsidR="0024673B">
              <w:rPr>
                <w:sz w:val="20"/>
                <w:szCs w:val="20"/>
                <w:lang w:val="sr-Cyrl-BA" w:eastAsia="sr-Latn-BA"/>
              </w:rPr>
              <w:t xml:space="preserve">ичким </w:t>
            </w:r>
            <w:r w:rsidRPr="008048D0">
              <w:rPr>
                <w:sz w:val="20"/>
                <w:szCs w:val="20"/>
                <w:lang w:val="sr-Latn-BA" w:eastAsia="sr-Latn-BA"/>
              </w:rPr>
              <w:t>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140,63%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0,24%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РС-правна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108,33%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0,85%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РС-зимска служба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666,67%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0,26%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РС-градско зеленило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280.000,00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316.200,00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117,86%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104,36%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4,31%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пр.лицима из РС-комунална полиција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РС-прање улица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29.300,00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88,57%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105,80%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0,41%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62009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повезаним пр. лицима из РС-јавна хигијена Јања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126,19%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103,52%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0,69%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пружених услуга повезаним правним 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782.000,00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865.900,00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927.000,00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118,54%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107,06%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12,12%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Српске-одвоз отпа</w:t>
            </w:r>
            <w:r w:rsidR="0024673B">
              <w:rPr>
                <w:sz w:val="20"/>
                <w:szCs w:val="20"/>
                <w:lang w:val="sr-Cyrl-BA" w:eastAsia="sr-Latn-BA"/>
              </w:rPr>
              <w:t xml:space="preserve">да </w:t>
            </w:r>
            <w:r w:rsidRPr="008048D0">
              <w:rPr>
                <w:sz w:val="20"/>
                <w:szCs w:val="20"/>
                <w:lang w:val="sr-Latn-BA" w:eastAsia="sr-Latn-BA"/>
              </w:rPr>
              <w:t>физ</w:t>
            </w:r>
            <w:r w:rsidR="0024673B">
              <w:rPr>
                <w:sz w:val="20"/>
                <w:szCs w:val="20"/>
                <w:lang w:val="sr-Cyrl-BA" w:eastAsia="sr-Latn-BA"/>
              </w:rPr>
              <w:t xml:space="preserve">ичким </w:t>
            </w:r>
            <w:r w:rsidRPr="008048D0">
              <w:rPr>
                <w:sz w:val="20"/>
                <w:szCs w:val="20"/>
                <w:lang w:val="sr-Latn-BA" w:eastAsia="sr-Latn-BA"/>
              </w:rPr>
              <w:t>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3.650.000,00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3.752.800,00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3.960.000,00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108,49%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105,52%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51,78%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Српске-гријање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24673B" w:rsidRDefault="008048D0" w:rsidP="0024673B">
            <w:pPr>
              <w:rPr>
                <w:sz w:val="20"/>
                <w:szCs w:val="20"/>
                <w:lang w:val="sr-Cyrl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Српске-одвоз отпада правним л</w:t>
            </w:r>
            <w:r w:rsidR="0024673B">
              <w:rPr>
                <w:sz w:val="20"/>
                <w:szCs w:val="20"/>
                <w:lang w:val="sr-Cyrl-BA" w:eastAsia="sr-Latn-BA"/>
              </w:rPr>
              <w:t>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1.430.000,00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1.503.600,00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1.600.000,00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111,89%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106,41%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20,92%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Српске-трошкови депоновања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111,11%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103,09%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0,65%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Српске-зеленило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Српске-паук (без</w:t>
            </w:r>
            <w:r w:rsidR="0024673B">
              <w:rPr>
                <w:sz w:val="20"/>
                <w:szCs w:val="20"/>
                <w:lang w:val="sr-Cyrl-BA" w:eastAsia="sr-Latn-BA"/>
              </w:rPr>
              <w:t xml:space="preserve"> </w:t>
            </w:r>
            <w:r w:rsidRPr="008048D0">
              <w:rPr>
                <w:sz w:val="20"/>
                <w:szCs w:val="20"/>
                <w:lang w:val="sr-Latn-BA" w:eastAsia="sr-Latn-BA"/>
              </w:rPr>
              <w:t>МУП-а)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111,11%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Српске-паук (за МУП)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130,95%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107,84%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0,72%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Српске-фекална цистерна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62117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Републике Српске-цистерна за воду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621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пружених услуга у Републици Српској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5.174.600,00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>
              <w:rPr>
                <w:b/>
                <w:bCs/>
                <w:sz w:val="20"/>
                <w:szCs w:val="20"/>
                <w:lang w:val="sr-Latn-BA" w:eastAsia="sr-Latn-BA"/>
              </w:rPr>
              <w:t>5.362.900,00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5.673.600,00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109,64%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105,79%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74,18%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62210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ФБиХ-одвоз отпада правним 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77.300,00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100,91%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1,02%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62211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ФБиХ-трошкови депоновања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106,67%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62212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ФБиХ-зеленило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62215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ФБиХ-цистерна за воду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622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пружених услуга у Федерацији БиХ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86.050,00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101,69%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1,14%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62310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БД БиХ-одвоз отпада правним 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24.900,00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116,28%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100,40%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0,33%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62311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БД БиХ-трошкови депоновања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62314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БД БиХ-фекална цистерна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62315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пружених услуга купцима из БД БиХ-цистерна за воду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623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 од пружених услуга у Брчко Дистрикту БиХ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22.100,00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25.150,00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25.800,00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116,74%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102,58%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0,34%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63000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Повећање вриједности залихе производа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Повећање вриједности залихе учинака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65020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дотација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9,77%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премија, субвенција, дотација, регреса, подстицаја и слично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9,77%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65100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закупнина земљишта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13.700,00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83,33%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109,49%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0,20%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закупнина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219.200,00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104,93%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закупа столова у пијаци-по уговору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260.000,00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283.000,00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290.000,00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111,54%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102,47%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3,79%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65131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закупа-дневни закуп столова у пијаци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79,55%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0,46%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65132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 од закупа столова-27. 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187,50%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101,35%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закупа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556.000,00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556.900,00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577.500,00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103,87%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103,70%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7,55%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65200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донација примљених од државних органа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175,00%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93,33%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0,46%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донација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175,00%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93,33%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0,46%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65510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из фондова-ФЗО (боловање)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183,33%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0,72%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65511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из фондова-породиљско боловање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144,93%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65520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завода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65540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поклона и помоћи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из намјенских извора финансирања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44.000,00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62.050,00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69.200,00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157,27%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111,52%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0,90%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за које није прописан посебан рачун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од продаје амбалажног отпада-стакло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208,33%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од продаје амбалажног отпада-бијели папир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од продаје амбалажног отпада-картон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12.350,00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104,17%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101,21%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од продаје амбалажног отпада-прозирна фолија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90,91%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од продаје амбалажног отпада-лименке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76,92%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65908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пословни приходи за које није прописан посебан рачун-ПЕТ амбалажа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166,67%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Остали пословни приходи по другим основама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27.450,00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24.770,00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27.850,00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101,46%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112,43%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0,36%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66050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затезних камата од повезаних правних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84,75%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660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камата од повезаних правних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84,75%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66170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Затезне камате у земљи-правна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98,90%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0,12%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66171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Затезне камате у земљи-физичка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39.100,00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117,65%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102,30%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0,52%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66190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Остале камате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85,71%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661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камата од неповезаних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48.500,00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53.200,00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113,40%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103,38%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0,72%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67520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 xml:space="preserve">Добици од продаје ситног алата и инвентара – лицитација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101,69%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675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Добици по основу продаје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101,69%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67910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отписа обавеза из купопродајних односа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67990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Остали непоменути приходи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26.500,00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75,00%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113,21%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0,39%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679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Приходи од смањења обавеза, укидања 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40.100,00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26.550,00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30.100,00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75,06%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113,37%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0,39%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68710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A40B4E" w:rsidRDefault="008048D0" w:rsidP="00A40B4E">
            <w:pPr>
              <w:rPr>
                <w:sz w:val="20"/>
                <w:szCs w:val="20"/>
                <w:lang w:val="sr-Cyrl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Приходи од ускл</w:t>
            </w:r>
            <w:r w:rsidR="00A40B4E">
              <w:rPr>
                <w:sz w:val="20"/>
                <w:szCs w:val="20"/>
                <w:lang w:val="sr-Cyrl-BA" w:eastAsia="sr-Latn-BA"/>
              </w:rPr>
              <w:t xml:space="preserve">ађивања </w:t>
            </w:r>
            <w:r w:rsidRPr="008048D0">
              <w:rPr>
                <w:sz w:val="20"/>
                <w:szCs w:val="20"/>
                <w:lang w:val="sr-Latn-BA" w:eastAsia="sr-Latn-BA"/>
              </w:rPr>
              <w:t>раније признатих кред</w:t>
            </w:r>
            <w:r w:rsidR="00A40B4E">
              <w:rPr>
                <w:sz w:val="20"/>
                <w:szCs w:val="20"/>
                <w:lang w:val="sr-Cyrl-BA" w:eastAsia="sr-Latn-BA"/>
              </w:rPr>
              <w:t xml:space="preserve">итних </w:t>
            </w:r>
            <w:r w:rsidRPr="008048D0">
              <w:rPr>
                <w:sz w:val="20"/>
                <w:szCs w:val="20"/>
                <w:lang w:val="sr-Latn-BA" w:eastAsia="sr-Latn-BA"/>
              </w:rPr>
              <w:t xml:space="preserve"> губитака усл</w:t>
            </w:r>
            <w:r w:rsidR="00A40B4E">
              <w:rPr>
                <w:sz w:val="20"/>
                <w:szCs w:val="20"/>
                <w:lang w:val="sr-Cyrl-BA" w:eastAsia="sr-Latn-BA"/>
              </w:rPr>
              <w:t xml:space="preserve">ијед </w:t>
            </w:r>
            <w:r w:rsidRPr="008048D0">
              <w:rPr>
                <w:sz w:val="20"/>
                <w:szCs w:val="20"/>
                <w:lang w:val="sr-Latn-BA" w:eastAsia="sr-Latn-BA"/>
              </w:rPr>
              <w:t>обезвр</w:t>
            </w:r>
            <w:r w:rsidR="00A40B4E">
              <w:rPr>
                <w:sz w:val="20"/>
                <w:szCs w:val="20"/>
                <w:lang w:val="sr-Cyrl-BA" w:eastAsia="sr-Latn-BA"/>
              </w:rPr>
              <w:t xml:space="preserve">ијеђења </w:t>
            </w:r>
            <w:r w:rsidRPr="008048D0">
              <w:rPr>
                <w:sz w:val="20"/>
                <w:szCs w:val="20"/>
                <w:lang w:val="sr-Latn-BA" w:eastAsia="sr-Latn-BA"/>
              </w:rPr>
              <w:t>потраживања од куп</w:t>
            </w:r>
            <w:r w:rsidR="00A40B4E">
              <w:rPr>
                <w:sz w:val="20"/>
                <w:szCs w:val="20"/>
                <w:lang w:val="sr-Cyrl-BA" w:eastAsia="sr-Latn-BA"/>
              </w:rPr>
              <w:t>аца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75.000,00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86,67%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118,18%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0,85%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048D0" w:rsidRPr="0024673B" w:rsidRDefault="008048D0" w:rsidP="0024673B">
            <w:pPr>
              <w:pStyle w:val="ListParagraph"/>
              <w:numPr>
                <w:ilvl w:val="0"/>
                <w:numId w:val="34"/>
              </w:numPr>
              <w:tabs>
                <w:tab w:val="left" w:pos="0"/>
              </w:tabs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687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A40B4E" w:rsidRDefault="008048D0" w:rsidP="008048D0">
            <w:pPr>
              <w:rPr>
                <w:b/>
                <w:bCs/>
                <w:sz w:val="20"/>
                <w:szCs w:val="20"/>
                <w:lang w:val="sr-Cyrl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Добици од умањења раније признатих кр</w:t>
            </w:r>
            <w:r w:rsidR="00A40B4E">
              <w:rPr>
                <w:b/>
                <w:bCs/>
                <w:sz w:val="20"/>
                <w:szCs w:val="20"/>
                <w:lang w:val="sr-Latn-BA" w:eastAsia="sr-Latn-BA"/>
              </w:rPr>
              <w:t>едитних губитака услијед обезвр</w:t>
            </w:r>
            <w:r w:rsidR="00A40B4E">
              <w:rPr>
                <w:b/>
                <w:bCs/>
                <w:sz w:val="20"/>
                <w:szCs w:val="20"/>
                <w:lang w:val="sr-Cyrl-BA" w:eastAsia="sr-Latn-BA"/>
              </w:rPr>
              <w:t>ијеђења потраживања од купаца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86,67%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118,18%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0,85%</w:t>
            </w:r>
          </w:p>
        </w:tc>
      </w:tr>
      <w:tr w:rsidR="008048D0" w:rsidRPr="008048D0" w:rsidTr="0024673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0" w:rsidRPr="0024673B" w:rsidRDefault="008048D0" w:rsidP="0024673B">
            <w:pPr>
              <w:tabs>
                <w:tab w:val="left" w:pos="0"/>
              </w:tabs>
              <w:ind w:left="360"/>
              <w:rPr>
                <w:sz w:val="20"/>
                <w:lang w:val="sr-Latn-BA" w:eastAsia="sr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rPr>
                <w:sz w:val="20"/>
                <w:szCs w:val="20"/>
                <w:lang w:val="sr-Latn-BA" w:eastAsia="sr-Latn-BA"/>
              </w:rPr>
            </w:pPr>
            <w:r w:rsidRPr="008048D0">
              <w:rPr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УКУПНО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6.933.950,00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7.272.870,00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7.648.450,00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110,30%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24673B">
            <w:pPr>
              <w:ind w:left="-108"/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105,16%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D0" w:rsidRPr="008048D0" w:rsidRDefault="008048D0" w:rsidP="008048D0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8048D0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</w:tr>
    </w:tbl>
    <w:p w:rsidR="008048D0" w:rsidRDefault="008048D0" w:rsidP="00C56A02">
      <w:pPr>
        <w:pStyle w:val="NoSpacing"/>
        <w:rPr>
          <w:b/>
          <w:lang w:val="sr-Latn-CS"/>
        </w:rPr>
      </w:pPr>
    </w:p>
    <w:p w:rsidR="005F5D47" w:rsidRPr="005F5D47" w:rsidRDefault="005F5D47" w:rsidP="00C56A02">
      <w:pPr>
        <w:pStyle w:val="NoSpacing"/>
        <w:rPr>
          <w:b/>
          <w:lang w:val="sr-Cyrl-BA"/>
        </w:rPr>
      </w:pPr>
    </w:p>
    <w:p w:rsidR="00265A4A" w:rsidRPr="00D91335" w:rsidRDefault="00265A4A" w:rsidP="00265A4A">
      <w:pPr>
        <w:ind w:firstLine="720"/>
        <w:jc w:val="both"/>
        <w:rPr>
          <w:lang w:val="sr-Cyrl-BA"/>
        </w:rPr>
      </w:pPr>
      <w:r w:rsidRPr="00D91335">
        <w:rPr>
          <w:lang w:val="sr-Latn-CS"/>
        </w:rPr>
        <w:t>Укупни приходи за 202</w:t>
      </w:r>
      <w:r w:rsidR="00140652">
        <w:rPr>
          <w:lang w:val="sr-Cyrl-BA"/>
        </w:rPr>
        <w:t>5</w:t>
      </w:r>
      <w:r w:rsidRPr="00D91335">
        <w:rPr>
          <w:lang w:val="sr-Latn-CS"/>
        </w:rPr>
        <w:t xml:space="preserve">. годину планирани су у износу од </w:t>
      </w:r>
      <w:r w:rsidR="00140652">
        <w:rPr>
          <w:lang w:val="sr-Cyrl-BA"/>
        </w:rPr>
        <w:t>7.648.450,00</w:t>
      </w:r>
      <w:r w:rsidRPr="00D91335">
        <w:rPr>
          <w:lang w:val="sr-Latn-CS"/>
        </w:rPr>
        <w:t xml:space="preserve"> КМ, док су расходи планирани у износу од </w:t>
      </w:r>
      <w:r w:rsidR="00140652">
        <w:rPr>
          <w:bCs/>
          <w:lang w:val="sr-Cyrl-BA"/>
        </w:rPr>
        <w:t>7.564.350,00</w:t>
      </w:r>
      <w:r w:rsidRPr="00D91335">
        <w:rPr>
          <w:bCs/>
          <w:lang w:val="sr-Latn-CS"/>
        </w:rPr>
        <w:t xml:space="preserve"> КМ</w:t>
      </w:r>
      <w:r w:rsidRPr="00D91335">
        <w:rPr>
          <w:lang w:val="sr-Latn-CS"/>
        </w:rPr>
        <w:t>, те</w:t>
      </w:r>
      <w:r w:rsidRPr="00D91335">
        <w:rPr>
          <w:lang w:val="sr-Cyrl-BA"/>
        </w:rPr>
        <w:t xml:space="preserve"> је</w:t>
      </w:r>
      <w:r w:rsidRPr="00D91335">
        <w:rPr>
          <w:lang w:val="sr-Latn-CS"/>
        </w:rPr>
        <w:t xml:space="preserve"> планирана бруто добит у износу од </w:t>
      </w:r>
      <w:r w:rsidR="00140652">
        <w:rPr>
          <w:lang w:val="sr-Cyrl-BA"/>
        </w:rPr>
        <w:t>84.100,00</w:t>
      </w:r>
      <w:r w:rsidRPr="00D91335">
        <w:rPr>
          <w:lang w:val="sr-Latn-CS"/>
        </w:rPr>
        <w:t xml:space="preserve"> КМ.</w:t>
      </w:r>
    </w:p>
    <w:p w:rsidR="00265A4A" w:rsidRDefault="00265A4A" w:rsidP="00265A4A">
      <w:pPr>
        <w:ind w:firstLine="720"/>
        <w:jc w:val="both"/>
        <w:rPr>
          <w:lang w:val="sr-Latn-BA"/>
        </w:rPr>
      </w:pPr>
      <w:r w:rsidRPr="00D91335">
        <w:rPr>
          <w:lang w:val="sr-Cyrl-BA"/>
        </w:rPr>
        <w:t>У оквиру класе планираних прихода за 202</w:t>
      </w:r>
      <w:r w:rsidR="00140652">
        <w:rPr>
          <w:lang w:val="sr-Cyrl-BA"/>
        </w:rPr>
        <w:t>5</w:t>
      </w:r>
      <w:r w:rsidRPr="00D91335">
        <w:rPr>
          <w:lang w:val="sr-Cyrl-BA"/>
        </w:rPr>
        <w:t>. годину, детаљно образложење дато је за приходе чије је учешће у укупним приходима веће од 0,50%.</w:t>
      </w:r>
    </w:p>
    <w:p w:rsidR="002A4C3B" w:rsidRDefault="002A4C3B" w:rsidP="00C56A02">
      <w:pPr>
        <w:pStyle w:val="NoSpacing"/>
        <w:rPr>
          <w:b/>
          <w:lang w:val="sr-Cyrl-BA"/>
        </w:rPr>
        <w:sectPr w:rsidR="002A4C3B" w:rsidSect="003B0B35">
          <w:pgSz w:w="15840" w:h="12240" w:orient="landscape" w:code="1"/>
          <w:pgMar w:top="1797" w:right="1440" w:bottom="1797" w:left="1440" w:header="720" w:footer="720" w:gutter="0"/>
          <w:cols w:space="720"/>
          <w:titlePg/>
          <w:docGrid w:linePitch="360"/>
        </w:sectPr>
      </w:pPr>
    </w:p>
    <w:p w:rsidR="000711F4" w:rsidRDefault="002A4C3B" w:rsidP="000711F4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62</w:t>
      </w:r>
      <w:r w:rsidR="000711F4">
        <w:rPr>
          <w:b/>
          <w:lang w:val="sr-Cyrl-BA"/>
        </w:rPr>
        <w:t>0</w:t>
      </w:r>
      <w:r w:rsidR="000711F4" w:rsidRPr="00BD79C1">
        <w:rPr>
          <w:b/>
          <w:lang w:val="sr-Cyrl-BA"/>
        </w:rPr>
        <w:t xml:space="preserve"> – Приходи од </w:t>
      </w:r>
      <w:r>
        <w:rPr>
          <w:b/>
          <w:lang w:val="sr-Cyrl-BA"/>
        </w:rPr>
        <w:t>пружених услуга</w:t>
      </w:r>
      <w:r w:rsidR="000711F4">
        <w:rPr>
          <w:b/>
          <w:lang w:val="sr-Cyrl-BA"/>
        </w:rPr>
        <w:t xml:space="preserve"> повезаним правним лицима</w:t>
      </w:r>
      <w:r w:rsidR="00CB1CA2">
        <w:rPr>
          <w:b/>
          <w:lang w:val="sr-Cyrl-BA"/>
        </w:rPr>
        <w:t xml:space="preserve"> - 12,12</w:t>
      </w:r>
      <w:r w:rsidR="00FE6720">
        <w:rPr>
          <w:b/>
          <w:lang w:val="sr-Cyrl-BA"/>
        </w:rPr>
        <w:t>%</w:t>
      </w:r>
    </w:p>
    <w:p w:rsidR="000711F4" w:rsidRPr="00FE6720" w:rsidRDefault="000711F4" w:rsidP="00AA03C8">
      <w:pPr>
        <w:ind w:firstLine="720"/>
        <w:jc w:val="both"/>
        <w:rPr>
          <w:sz w:val="8"/>
          <w:szCs w:val="8"/>
          <w:lang w:val="sr-Cyrl-BA"/>
        </w:rPr>
      </w:pPr>
    </w:p>
    <w:p w:rsidR="00750E07" w:rsidRDefault="00750E07" w:rsidP="00750E07">
      <w:pPr>
        <w:ind w:firstLine="720"/>
        <w:jc w:val="both"/>
        <w:rPr>
          <w:lang w:val="sr-Latn-CS"/>
        </w:rPr>
      </w:pPr>
      <w:r>
        <w:rPr>
          <w:lang w:val="sr-Cyrl-BA"/>
        </w:rPr>
        <w:t>У оквиру прихода од</w:t>
      </w:r>
      <w:r w:rsidR="002A4C3B">
        <w:rPr>
          <w:lang w:val="sr-Cyrl-BA"/>
        </w:rPr>
        <w:t xml:space="preserve"> пружених услуга повезаним правним</w:t>
      </w:r>
      <w:r w:rsidR="00CB1CA2">
        <w:rPr>
          <w:lang w:val="sr-Cyrl-BA"/>
        </w:rPr>
        <w:t xml:space="preserve"> лицима, који учествују са 12</w:t>
      </w:r>
      <w:r w:rsidR="00DD5704">
        <w:rPr>
          <w:lang w:val="sr-Cyrl-BA"/>
        </w:rPr>
        <w:t>,</w:t>
      </w:r>
      <w:r w:rsidR="00CB1CA2">
        <w:rPr>
          <w:lang w:val="sr-Cyrl-BA"/>
        </w:rPr>
        <w:t>12</w:t>
      </w:r>
      <w:r>
        <w:rPr>
          <w:lang w:val="sr-Cyrl-BA"/>
        </w:rPr>
        <w:t xml:space="preserve">% у укупним приходима, потребно је истаћи приходе од </w:t>
      </w:r>
      <w:r w:rsidR="002A4C3B">
        <w:rPr>
          <w:lang w:val="sr-Cyrl-BA"/>
        </w:rPr>
        <w:t xml:space="preserve">пружених </w:t>
      </w:r>
      <w:r>
        <w:rPr>
          <w:lang w:val="sr-Cyrl-BA"/>
        </w:rPr>
        <w:t xml:space="preserve">услуга </w:t>
      </w:r>
      <w:r>
        <w:rPr>
          <w:lang w:val="sr-Latn-CS"/>
        </w:rPr>
        <w:t>јавне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хигијене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 xml:space="preserve">у Бијељини и Јањи, </w:t>
      </w:r>
      <w:r>
        <w:rPr>
          <w:lang w:val="sr-Cyrl-BA"/>
        </w:rPr>
        <w:t xml:space="preserve">који су </w:t>
      </w:r>
      <w:r w:rsidR="00CB1CA2">
        <w:rPr>
          <w:lang w:val="sr-Latn-CS"/>
        </w:rPr>
        <w:t xml:space="preserve">планирани у износу од </w:t>
      </w:r>
      <w:r w:rsidR="00CB1CA2">
        <w:rPr>
          <w:lang w:val="sr-Cyrl-BA"/>
        </w:rPr>
        <w:t>463</w:t>
      </w:r>
      <w:r>
        <w:rPr>
          <w:lang w:val="sr-Latn-CS"/>
        </w:rPr>
        <w:t>.000,00 КМ</w:t>
      </w:r>
      <w:r>
        <w:rPr>
          <w:lang w:val="sr-Cyrl-BA"/>
        </w:rPr>
        <w:t>,</w:t>
      </w:r>
      <w:r>
        <w:rPr>
          <w:lang w:val="sr-Latn-CS"/>
        </w:rPr>
        <w:t xml:space="preserve"> са учешћем од </w:t>
      </w:r>
      <w:r w:rsidR="00CB1CA2">
        <w:rPr>
          <w:lang w:val="sr-Cyrl-BA"/>
        </w:rPr>
        <w:t>6,0</w:t>
      </w:r>
      <w:r w:rsidR="00DD5704">
        <w:rPr>
          <w:lang w:val="sr-Cyrl-BA"/>
        </w:rPr>
        <w:t>5</w:t>
      </w:r>
      <w:r>
        <w:rPr>
          <w:lang w:val="sr-Latn-CS"/>
        </w:rPr>
        <w:t>% у укупним приходима. Приходи од услуга јавне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хигијене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 xml:space="preserve">заједно са приходима од </w:t>
      </w:r>
      <w:r w:rsidR="00DD5704">
        <w:rPr>
          <w:lang w:val="sr-Cyrl-BA"/>
        </w:rPr>
        <w:t xml:space="preserve">префактурисаних услуга одвоза отпада физичким лицима и </w:t>
      </w:r>
      <w:r>
        <w:rPr>
          <w:lang w:val="sr-Latn-CS"/>
        </w:rPr>
        <w:t xml:space="preserve">услуга одвоза отпада </w:t>
      </w:r>
      <w:r w:rsidR="00DD5704">
        <w:rPr>
          <w:lang w:val="sr-Cyrl-BA"/>
        </w:rPr>
        <w:t xml:space="preserve">за Градску управу Града Бијељина, као </w:t>
      </w:r>
      <w:r>
        <w:rPr>
          <w:lang w:val="sr-Cyrl-BA"/>
        </w:rPr>
        <w:t>и</w:t>
      </w:r>
      <w:r>
        <w:rPr>
          <w:lang w:val="sr-Latn-CS"/>
        </w:rPr>
        <w:t xml:space="preserve"> приходима од услуга зимске службе, остварују се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основу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учешћа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тендеру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одржавање јавне хигијене на територији Града Бијељине. План за 202</w:t>
      </w:r>
      <w:r w:rsidR="00CB1CA2">
        <w:rPr>
          <w:lang w:val="sr-Cyrl-BA"/>
        </w:rPr>
        <w:t>5</w:t>
      </w:r>
      <w:r w:rsidRPr="00EB3B89">
        <w:rPr>
          <w:lang w:val="sr-Latn-CS"/>
        </w:rPr>
        <w:t>.</w:t>
      </w:r>
      <w:r>
        <w:rPr>
          <w:lang w:val="sr-Latn-CS"/>
        </w:rPr>
        <w:t xml:space="preserve"> годину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рађен је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на основу очекиваног издвајања Града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Бијељине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одржавање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јавне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хигијене</w:t>
      </w:r>
      <w:r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граду</w:t>
      </w:r>
      <w:r w:rsidRPr="00EB3B89">
        <w:rPr>
          <w:lang w:val="sr-Latn-CS"/>
        </w:rPr>
        <w:t>.</w:t>
      </w:r>
    </w:p>
    <w:p w:rsidR="00750E07" w:rsidRDefault="00750E07" w:rsidP="00750E07">
      <w:pPr>
        <w:ind w:firstLine="720"/>
        <w:jc w:val="both"/>
        <w:rPr>
          <w:lang w:val="sr-Cyrl-BA"/>
        </w:rPr>
      </w:pPr>
      <w:r>
        <w:rPr>
          <w:lang w:val="sr-Latn-CS"/>
        </w:rPr>
        <w:t>Приходи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услуга одржавања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градског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зеленила</w:t>
      </w:r>
      <w:r w:rsidRPr="00EB3B89">
        <w:rPr>
          <w:lang w:val="sr-Latn-CS"/>
        </w:rPr>
        <w:t xml:space="preserve">, </w:t>
      </w:r>
      <w:r>
        <w:rPr>
          <w:lang w:val="sr-Latn-CS"/>
        </w:rPr>
        <w:t>који</w:t>
      </w:r>
      <w:r w:rsidRPr="00EB3B89">
        <w:rPr>
          <w:lang w:val="sr-Latn-CS"/>
        </w:rPr>
        <w:t xml:space="preserve"> </w:t>
      </w:r>
      <w:r>
        <w:rPr>
          <w:lang w:val="sr-Latn-CS"/>
        </w:rPr>
        <w:t>се такође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остварују по основу учешћа на тендеру Града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Бијељине</w:t>
      </w:r>
      <w:r w:rsidRPr="00EB3B89">
        <w:rPr>
          <w:lang w:val="sr-Latn-CS"/>
        </w:rPr>
        <w:t>,</w:t>
      </w:r>
      <w:r>
        <w:rPr>
          <w:lang w:val="sr-Latn-CS"/>
        </w:rPr>
        <w:t xml:space="preserve"> планирани су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износу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Pr="00EB3B89">
        <w:rPr>
          <w:lang w:val="sr-Latn-CS"/>
        </w:rPr>
        <w:t xml:space="preserve"> </w:t>
      </w:r>
      <w:r w:rsidR="00CB1CA2">
        <w:rPr>
          <w:lang w:val="sr-Cyrl-BA"/>
        </w:rPr>
        <w:t>330</w:t>
      </w:r>
      <w:r>
        <w:rPr>
          <w:lang w:val="sr-Latn-CS"/>
        </w:rPr>
        <w:t>.0</w:t>
      </w:r>
      <w:r w:rsidRPr="00EB3B89">
        <w:rPr>
          <w:lang w:val="sr-Latn-CS"/>
        </w:rPr>
        <w:t>00</w:t>
      </w:r>
      <w:r>
        <w:rPr>
          <w:lang w:val="sr-Latn-CS"/>
        </w:rPr>
        <w:t>,00</w:t>
      </w:r>
      <w:r w:rsidRPr="00EB3B89">
        <w:rPr>
          <w:lang w:val="sr-Latn-CS"/>
        </w:rPr>
        <w:t xml:space="preserve"> </w:t>
      </w:r>
      <w:r>
        <w:rPr>
          <w:lang w:val="sr-Latn-CS"/>
        </w:rPr>
        <w:t>КМ</w:t>
      </w:r>
      <w:r w:rsidRPr="00EB3B89">
        <w:rPr>
          <w:lang w:val="sr-Latn-CS"/>
        </w:rPr>
        <w:t>.</w:t>
      </w:r>
      <w:r>
        <w:rPr>
          <w:lang w:val="sr-Latn-CS"/>
        </w:rPr>
        <w:t xml:space="preserve"> Наведени приходи планирани су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основу очекиваног издвајања Града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Бијељина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услуге одржавања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градског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зеленила</w:t>
      </w:r>
      <w:r w:rsidRPr="00EB3B89">
        <w:rPr>
          <w:lang w:val="sr-Latn-CS"/>
        </w:rPr>
        <w:t xml:space="preserve">. </w:t>
      </w:r>
      <w:r>
        <w:rPr>
          <w:lang w:val="sr-Latn-CS"/>
        </w:rPr>
        <w:t>Учешће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прихода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услуга одржавања</w:t>
      </w:r>
      <w:r w:rsidRPr="00EB3B89">
        <w:rPr>
          <w:lang w:val="sr-Latn-CS"/>
        </w:rPr>
        <w:t xml:space="preserve"> </w:t>
      </w:r>
      <w:r>
        <w:rPr>
          <w:lang w:val="sr-Latn-CS"/>
        </w:rPr>
        <w:t>градског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зеленила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укупним</w:t>
      </w:r>
      <w:r w:rsidRPr="00EB3B89">
        <w:rPr>
          <w:lang w:val="sr-Latn-CS"/>
        </w:rPr>
        <w:t xml:space="preserve"> </w:t>
      </w:r>
      <w:r>
        <w:rPr>
          <w:lang w:val="sr-Latn-CS"/>
        </w:rPr>
        <w:t>приходима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је</w:t>
      </w:r>
      <w:r w:rsidRPr="00EB3B89">
        <w:rPr>
          <w:lang w:val="sr-Latn-CS"/>
        </w:rPr>
        <w:t xml:space="preserve"> </w:t>
      </w:r>
      <w:r w:rsidR="00CB1CA2">
        <w:rPr>
          <w:lang w:val="sr-Cyrl-BA"/>
        </w:rPr>
        <w:t>4,31</w:t>
      </w:r>
      <w:r w:rsidRPr="00EB3B89">
        <w:rPr>
          <w:lang w:val="sr-Latn-CS"/>
        </w:rPr>
        <w:t>%.</w:t>
      </w:r>
      <w:r>
        <w:rPr>
          <w:lang w:val="sr-Latn-CS"/>
        </w:rPr>
        <w:t xml:space="preserve"> Приходе који се остварују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по</w:t>
      </w:r>
      <w:r w:rsidRPr="00EB3B89">
        <w:rPr>
          <w:lang w:val="sr-Latn-CS"/>
        </w:rPr>
        <w:t xml:space="preserve"> </w:t>
      </w:r>
      <w:r>
        <w:rPr>
          <w:lang w:val="sr-Latn-CS"/>
        </w:rPr>
        <w:t>основу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учешћа на тендерима тешко је реално планирати</w:t>
      </w:r>
      <w:r w:rsidRPr="00EB3B89">
        <w:rPr>
          <w:lang w:val="sr-Latn-CS"/>
        </w:rPr>
        <w:t xml:space="preserve">, </w:t>
      </w:r>
      <w:r>
        <w:rPr>
          <w:lang w:val="sr-Latn-CS"/>
        </w:rPr>
        <w:t>јер</w:t>
      </w:r>
      <w:r w:rsidRPr="00EB3B89">
        <w:rPr>
          <w:lang w:val="sr-Latn-CS"/>
        </w:rPr>
        <w:t xml:space="preserve"> </w:t>
      </w:r>
      <w:r>
        <w:rPr>
          <w:lang w:val="sr-Latn-CS"/>
        </w:rPr>
        <w:t>зависе</w:t>
      </w:r>
      <w:r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Pr="00EB3B89">
        <w:rPr>
          <w:lang w:val="sr-Latn-CS"/>
        </w:rPr>
        <w:t xml:space="preserve"> </w:t>
      </w:r>
      <w:r>
        <w:rPr>
          <w:lang w:val="sr-Latn-CS"/>
        </w:rPr>
        <w:t>планираних издвајања наручиоца</w:t>
      </w:r>
      <w:r w:rsidRPr="00EB3B89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DD5704">
        <w:rPr>
          <w:lang w:val="sr-Cyrl-BA"/>
        </w:rPr>
        <w:t>, односно од планираних средстава</w:t>
      </w:r>
      <w:r w:rsidR="00CB1CA2">
        <w:rPr>
          <w:lang w:val="sr-Cyrl-BA"/>
        </w:rPr>
        <w:t xml:space="preserve"> у буџету Града Бијељина за 2025</w:t>
      </w:r>
      <w:r w:rsidR="00DD5704">
        <w:rPr>
          <w:lang w:val="sr-Cyrl-BA"/>
        </w:rPr>
        <w:t>. годину</w:t>
      </w:r>
      <w:r w:rsidRPr="00EB3B89">
        <w:rPr>
          <w:lang w:val="sr-Latn-CS"/>
        </w:rPr>
        <w:t>.</w:t>
      </w:r>
    </w:p>
    <w:p w:rsidR="00750E07" w:rsidRPr="00750E07" w:rsidRDefault="00750E07" w:rsidP="00750E07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Приходи од услуга </w:t>
      </w:r>
      <w:r w:rsidR="00B246C7">
        <w:rPr>
          <w:lang w:val="sr-Cyrl-BA"/>
        </w:rPr>
        <w:t>комуналној полицији</w:t>
      </w:r>
      <w:r w:rsidR="00DD5704">
        <w:rPr>
          <w:lang w:val="sr-Cyrl-BA"/>
        </w:rPr>
        <w:t xml:space="preserve"> </w:t>
      </w:r>
      <w:r w:rsidR="00CB1CA2">
        <w:rPr>
          <w:lang w:val="sr-Cyrl-BA"/>
        </w:rPr>
        <w:t xml:space="preserve">нису </w:t>
      </w:r>
      <w:r w:rsidR="00DD5704">
        <w:rPr>
          <w:lang w:val="sr-Cyrl-BA"/>
        </w:rPr>
        <w:t xml:space="preserve">планирани, </w:t>
      </w:r>
      <w:r w:rsidR="00CB1CA2">
        <w:rPr>
          <w:lang w:val="sr-Cyrl-BA"/>
        </w:rPr>
        <w:t>јер</w:t>
      </w:r>
      <w:r w:rsidR="00DD5704">
        <w:rPr>
          <w:lang w:val="sr-Cyrl-BA"/>
        </w:rPr>
        <w:t xml:space="preserve"> исти нису реализовани у текућој години, док су </w:t>
      </w:r>
      <w:r>
        <w:rPr>
          <w:lang w:val="sr-Cyrl-BA"/>
        </w:rPr>
        <w:t xml:space="preserve">приходи од </w:t>
      </w:r>
      <w:r w:rsidR="00B246C7">
        <w:rPr>
          <w:lang w:val="sr-Cyrl-BA"/>
        </w:rPr>
        <w:t xml:space="preserve">услуга </w:t>
      </w:r>
      <w:r>
        <w:rPr>
          <w:lang w:val="sr-Cyrl-BA"/>
        </w:rPr>
        <w:t>прањ</w:t>
      </w:r>
      <w:r w:rsidR="00DD5704">
        <w:rPr>
          <w:lang w:val="sr-Cyrl-BA"/>
        </w:rPr>
        <w:t xml:space="preserve">а улица планирани </w:t>
      </w:r>
      <w:r w:rsidR="00B246C7">
        <w:rPr>
          <w:lang w:val="sr-Cyrl-BA"/>
        </w:rPr>
        <w:t>на нивоу о</w:t>
      </w:r>
      <w:r>
        <w:rPr>
          <w:lang w:val="sr-Cyrl-BA"/>
        </w:rPr>
        <w:t>стварења претходне године</w:t>
      </w:r>
      <w:r w:rsidR="00B246C7">
        <w:rPr>
          <w:lang w:val="sr-Cyrl-BA"/>
        </w:rPr>
        <w:t>.</w:t>
      </w:r>
    </w:p>
    <w:p w:rsidR="00750E07" w:rsidRPr="00265A4A" w:rsidRDefault="00750E07" w:rsidP="00AA03C8">
      <w:pPr>
        <w:ind w:firstLine="720"/>
        <w:jc w:val="both"/>
        <w:rPr>
          <w:sz w:val="16"/>
          <w:szCs w:val="16"/>
          <w:lang w:val="sr-Cyrl-BA"/>
        </w:rPr>
      </w:pPr>
    </w:p>
    <w:p w:rsidR="00750E07" w:rsidRPr="00875801" w:rsidRDefault="00B246C7" w:rsidP="00AA03C8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t>621 – Приходи од пружених услуга</w:t>
      </w:r>
      <w:r w:rsidR="00875801" w:rsidRPr="00875801">
        <w:rPr>
          <w:b/>
          <w:lang w:val="sr-Cyrl-BA"/>
        </w:rPr>
        <w:t xml:space="preserve"> у Републици Српској</w:t>
      </w:r>
      <w:r w:rsidR="00FE6720">
        <w:rPr>
          <w:b/>
          <w:lang w:val="sr-Cyrl-BA"/>
        </w:rPr>
        <w:t xml:space="preserve"> </w:t>
      </w:r>
      <w:r w:rsidR="00B72AC0">
        <w:rPr>
          <w:b/>
          <w:lang w:val="sr-Cyrl-BA"/>
        </w:rPr>
        <w:t>–</w:t>
      </w:r>
      <w:r w:rsidR="00FE6720">
        <w:rPr>
          <w:b/>
          <w:lang w:val="sr-Cyrl-BA"/>
        </w:rPr>
        <w:t xml:space="preserve"> </w:t>
      </w:r>
      <w:r w:rsidR="00CB1CA2">
        <w:rPr>
          <w:b/>
          <w:lang w:val="sr-Cyrl-BA"/>
        </w:rPr>
        <w:t>74,18</w:t>
      </w:r>
      <w:r w:rsidR="00B72AC0">
        <w:rPr>
          <w:b/>
          <w:lang w:val="sr-Cyrl-BA"/>
        </w:rPr>
        <w:t>%</w:t>
      </w:r>
    </w:p>
    <w:p w:rsidR="00750E07" w:rsidRPr="00FE6720" w:rsidRDefault="00750E07" w:rsidP="00AA03C8">
      <w:pPr>
        <w:ind w:firstLine="720"/>
        <w:jc w:val="both"/>
        <w:rPr>
          <w:sz w:val="8"/>
          <w:szCs w:val="8"/>
          <w:lang w:val="sr-Cyrl-BA"/>
        </w:rPr>
      </w:pPr>
    </w:p>
    <w:p w:rsidR="00347A66" w:rsidRDefault="009129D1" w:rsidP="00AA03C8">
      <w:pPr>
        <w:ind w:firstLine="720"/>
        <w:jc w:val="both"/>
        <w:rPr>
          <w:lang w:val="sr-Cyrl-BA"/>
        </w:rPr>
      </w:pPr>
      <w:r>
        <w:rPr>
          <w:lang w:val="sr-Latn-CS"/>
        </w:rPr>
        <w:t>У</w:t>
      </w:r>
      <w:r w:rsidR="00924CD8">
        <w:rPr>
          <w:lang w:val="sr-Latn-CS"/>
        </w:rPr>
        <w:t xml:space="preserve"> </w:t>
      </w:r>
      <w:r w:rsidR="003B2382">
        <w:rPr>
          <w:lang w:val="sr-Latn-CS"/>
        </w:rPr>
        <w:t>планираним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приходима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највеће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учешће</w:t>
      </w:r>
      <w:r w:rsidR="0000654E">
        <w:rPr>
          <w:lang w:val="sr-Latn-CS"/>
        </w:rPr>
        <w:t xml:space="preserve"> </w:t>
      </w:r>
      <w:r>
        <w:rPr>
          <w:lang w:val="sr-Latn-CS"/>
        </w:rPr>
        <w:t>имају</w:t>
      </w:r>
      <w:r w:rsidR="0000654E">
        <w:rPr>
          <w:lang w:val="sr-Latn-CS"/>
        </w:rPr>
        <w:t xml:space="preserve"> </w:t>
      </w:r>
      <w:r>
        <w:rPr>
          <w:lang w:val="sr-Latn-CS"/>
        </w:rPr>
        <w:t>приходи</w:t>
      </w:r>
      <w:r w:rsidR="0000654E">
        <w:rPr>
          <w:lang w:val="sr-Latn-CS"/>
        </w:rPr>
        <w:t xml:space="preserve"> </w:t>
      </w:r>
      <w:r>
        <w:rPr>
          <w:lang w:val="sr-Latn-CS"/>
        </w:rPr>
        <w:t>од</w:t>
      </w:r>
      <w:r w:rsidR="0000654E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3E591B">
        <w:rPr>
          <w:lang w:val="sr-Latn-CS"/>
        </w:rPr>
        <w:t xml:space="preserve"> </w:t>
      </w:r>
      <w:r>
        <w:rPr>
          <w:lang w:val="sr-Latn-CS"/>
        </w:rPr>
        <w:t>одвоза</w:t>
      </w:r>
      <w:r w:rsidR="0000654E">
        <w:rPr>
          <w:lang w:val="sr-Latn-CS"/>
        </w:rPr>
        <w:t xml:space="preserve"> </w:t>
      </w:r>
      <w:r>
        <w:rPr>
          <w:lang w:val="sr-Latn-CS"/>
        </w:rPr>
        <w:t>чврстог</w:t>
      </w:r>
      <w:r w:rsidR="00C76031">
        <w:rPr>
          <w:lang w:val="sr-Latn-CS"/>
        </w:rPr>
        <w:t xml:space="preserve"> </w:t>
      </w:r>
      <w:r>
        <w:rPr>
          <w:lang w:val="sr-Latn-CS"/>
        </w:rPr>
        <w:t>комуналног</w:t>
      </w:r>
      <w:r w:rsidR="00C76031">
        <w:rPr>
          <w:lang w:val="sr-Latn-CS"/>
        </w:rPr>
        <w:t xml:space="preserve"> </w:t>
      </w:r>
      <w:r>
        <w:rPr>
          <w:lang w:val="sr-Latn-CS"/>
        </w:rPr>
        <w:t>отпада</w:t>
      </w:r>
      <w:r w:rsidR="00C76031">
        <w:rPr>
          <w:lang w:val="sr-Latn-CS"/>
        </w:rPr>
        <w:t xml:space="preserve"> </w:t>
      </w:r>
      <w:r>
        <w:rPr>
          <w:lang w:val="sr-Latn-CS"/>
        </w:rPr>
        <w:t>власницима</w:t>
      </w:r>
      <w:r w:rsidR="00C76031">
        <w:rPr>
          <w:lang w:val="sr-Latn-CS"/>
        </w:rPr>
        <w:t xml:space="preserve"> </w:t>
      </w:r>
      <w:r>
        <w:rPr>
          <w:lang w:val="sr-Latn-CS"/>
        </w:rPr>
        <w:t>и</w:t>
      </w:r>
      <w:r w:rsidR="00C76031">
        <w:rPr>
          <w:lang w:val="sr-Latn-CS"/>
        </w:rPr>
        <w:t xml:space="preserve"> </w:t>
      </w:r>
      <w:r>
        <w:rPr>
          <w:lang w:val="sr-Latn-CS"/>
        </w:rPr>
        <w:t>корисницима</w:t>
      </w:r>
      <w:r w:rsidR="00C76031">
        <w:rPr>
          <w:lang w:val="sr-Latn-CS"/>
        </w:rPr>
        <w:t xml:space="preserve"> </w:t>
      </w:r>
      <w:r>
        <w:rPr>
          <w:lang w:val="sr-Latn-CS"/>
        </w:rPr>
        <w:t>стамбених</w:t>
      </w:r>
      <w:r w:rsidR="00C76031">
        <w:rPr>
          <w:lang w:val="sr-Latn-CS"/>
        </w:rPr>
        <w:t xml:space="preserve"> </w:t>
      </w:r>
      <w:r>
        <w:rPr>
          <w:lang w:val="sr-Latn-CS"/>
        </w:rPr>
        <w:t>објеката</w:t>
      </w:r>
      <w:r w:rsidR="00637FAE">
        <w:rPr>
          <w:lang w:val="sr-Latn-CS"/>
        </w:rPr>
        <w:t>,</w:t>
      </w:r>
      <w:r w:rsidR="008630E6">
        <w:rPr>
          <w:lang w:val="sr-Latn-CS"/>
        </w:rPr>
        <w:t xml:space="preserve"> </w:t>
      </w:r>
      <w:r>
        <w:rPr>
          <w:lang w:val="sr-Latn-CS"/>
        </w:rPr>
        <w:t>са</w:t>
      </w:r>
      <w:r w:rsidR="008630E6">
        <w:rPr>
          <w:lang w:val="sr-Latn-CS"/>
        </w:rPr>
        <w:t xml:space="preserve"> </w:t>
      </w:r>
      <w:r>
        <w:rPr>
          <w:lang w:val="sr-Latn-CS"/>
        </w:rPr>
        <w:t>процентом</w:t>
      </w:r>
      <w:r w:rsidR="008630E6">
        <w:rPr>
          <w:lang w:val="sr-Latn-CS"/>
        </w:rPr>
        <w:t xml:space="preserve"> </w:t>
      </w:r>
      <w:r>
        <w:rPr>
          <w:lang w:val="sr-Latn-CS"/>
        </w:rPr>
        <w:t>учешћа</w:t>
      </w:r>
      <w:r w:rsidR="008630E6">
        <w:rPr>
          <w:lang w:val="sr-Latn-CS"/>
        </w:rPr>
        <w:t xml:space="preserve"> </w:t>
      </w:r>
      <w:r>
        <w:rPr>
          <w:lang w:val="sr-Latn-CS"/>
        </w:rPr>
        <w:t>од</w:t>
      </w:r>
      <w:r w:rsidR="008630E6">
        <w:rPr>
          <w:lang w:val="sr-Latn-CS"/>
        </w:rPr>
        <w:t xml:space="preserve"> </w:t>
      </w:r>
      <w:r w:rsidR="00CB1CA2">
        <w:rPr>
          <w:lang w:val="sr-Cyrl-BA"/>
        </w:rPr>
        <w:t>51,78</w:t>
      </w:r>
      <w:r w:rsidR="00B036DA" w:rsidRPr="00EB3B89">
        <w:rPr>
          <w:lang w:val="sr-Latn-CS"/>
        </w:rPr>
        <w:t>%</w:t>
      </w:r>
      <w:r w:rsidR="00C76031">
        <w:rPr>
          <w:lang w:val="sr-Latn-CS"/>
        </w:rPr>
        <w:t xml:space="preserve">. </w:t>
      </w:r>
      <w:r>
        <w:rPr>
          <w:lang w:val="sr-Latn-CS"/>
        </w:rPr>
        <w:t>Наведени</w:t>
      </w:r>
      <w:r w:rsidR="00C76031">
        <w:rPr>
          <w:lang w:val="sr-Latn-CS"/>
        </w:rPr>
        <w:t xml:space="preserve"> </w:t>
      </w:r>
      <w:r>
        <w:rPr>
          <w:lang w:val="sr-Latn-CS"/>
        </w:rPr>
        <w:t>приход</w:t>
      </w:r>
      <w:r w:rsidR="00C76031">
        <w:rPr>
          <w:lang w:val="sr-Latn-CS"/>
        </w:rPr>
        <w:t xml:space="preserve"> </w:t>
      </w:r>
      <w:r>
        <w:rPr>
          <w:lang w:val="sr-Latn-CS"/>
        </w:rPr>
        <w:t>планиран</w:t>
      </w:r>
      <w:r w:rsidR="001E255E">
        <w:rPr>
          <w:lang w:val="sr-Latn-CS"/>
        </w:rPr>
        <w:t xml:space="preserve"> </w:t>
      </w:r>
      <w:r>
        <w:rPr>
          <w:lang w:val="sr-Latn-CS"/>
        </w:rPr>
        <w:t>је</w:t>
      </w:r>
      <w:r w:rsidR="001E255E">
        <w:rPr>
          <w:lang w:val="sr-Latn-CS"/>
        </w:rPr>
        <w:t xml:space="preserve"> </w:t>
      </w:r>
      <w:r>
        <w:rPr>
          <w:lang w:val="sr-Latn-CS"/>
        </w:rPr>
        <w:t>у</w:t>
      </w:r>
      <w:r w:rsidR="001E255E">
        <w:rPr>
          <w:lang w:val="sr-Latn-CS"/>
        </w:rPr>
        <w:t xml:space="preserve"> </w:t>
      </w:r>
      <w:r>
        <w:rPr>
          <w:lang w:val="sr-Latn-CS"/>
        </w:rPr>
        <w:t>укупном</w:t>
      </w:r>
      <w:r w:rsidR="001E255E">
        <w:rPr>
          <w:lang w:val="sr-Latn-CS"/>
        </w:rPr>
        <w:t xml:space="preserve"> </w:t>
      </w:r>
      <w:r>
        <w:rPr>
          <w:lang w:val="sr-Latn-CS"/>
        </w:rPr>
        <w:t>износу</w:t>
      </w:r>
      <w:r w:rsidR="001E255E">
        <w:rPr>
          <w:lang w:val="sr-Latn-CS"/>
        </w:rPr>
        <w:t xml:space="preserve"> </w:t>
      </w:r>
      <w:r>
        <w:rPr>
          <w:lang w:val="sr-Latn-CS"/>
        </w:rPr>
        <w:t>од</w:t>
      </w:r>
      <w:r w:rsidR="00B246C7">
        <w:rPr>
          <w:lang w:val="sr-Latn-CS"/>
        </w:rPr>
        <w:t xml:space="preserve"> </w:t>
      </w:r>
      <w:r w:rsidR="00CB1CA2">
        <w:rPr>
          <w:lang w:val="sr-Cyrl-BA"/>
        </w:rPr>
        <w:t>3.96</w:t>
      </w:r>
      <w:r w:rsidR="00B246C7">
        <w:rPr>
          <w:lang w:val="sr-Cyrl-BA"/>
        </w:rPr>
        <w:t>0</w:t>
      </w:r>
      <w:r w:rsidR="003B2382">
        <w:rPr>
          <w:lang w:val="sr-Cyrl-BA"/>
        </w:rPr>
        <w:t>.000,00</w:t>
      </w:r>
      <w:r w:rsidR="00C46A4F">
        <w:rPr>
          <w:lang w:val="sr-Latn-CS"/>
        </w:rPr>
        <w:t xml:space="preserve"> </w:t>
      </w:r>
      <w:r>
        <w:rPr>
          <w:lang w:val="sr-Latn-CS"/>
        </w:rPr>
        <w:t>КМ</w:t>
      </w:r>
      <w:r w:rsidR="00C46A4F">
        <w:rPr>
          <w:lang w:val="sr-Latn-CS"/>
        </w:rPr>
        <w:t xml:space="preserve">, </w:t>
      </w:r>
      <w:r>
        <w:rPr>
          <w:lang w:val="sr-Latn-CS"/>
        </w:rPr>
        <w:t>што</w:t>
      </w:r>
      <w:r w:rsidR="001E255E">
        <w:rPr>
          <w:lang w:val="sr-Latn-CS"/>
        </w:rPr>
        <w:t xml:space="preserve"> </w:t>
      </w:r>
      <w:r>
        <w:rPr>
          <w:lang w:val="sr-Latn-CS"/>
        </w:rPr>
        <w:t>је</w:t>
      </w:r>
      <w:r w:rsidR="001E255E">
        <w:rPr>
          <w:lang w:val="sr-Latn-CS"/>
        </w:rPr>
        <w:t xml:space="preserve"> </w:t>
      </w:r>
      <w:r>
        <w:rPr>
          <w:lang w:val="sr-Latn-CS"/>
        </w:rPr>
        <w:t>за</w:t>
      </w:r>
      <w:r w:rsidR="003B2382">
        <w:rPr>
          <w:lang w:val="sr-Latn-CS"/>
        </w:rPr>
        <w:t xml:space="preserve"> </w:t>
      </w:r>
      <w:r w:rsidR="00CB1CA2">
        <w:rPr>
          <w:lang w:val="sr-Cyrl-BA"/>
        </w:rPr>
        <w:t>5,52</w:t>
      </w:r>
      <w:r w:rsidR="00C76031">
        <w:rPr>
          <w:lang w:val="sr-Latn-CS"/>
        </w:rPr>
        <w:t xml:space="preserve">% </w:t>
      </w:r>
      <w:r>
        <w:rPr>
          <w:lang w:val="sr-Latn-CS"/>
        </w:rPr>
        <w:t>више</w:t>
      </w:r>
      <w:r w:rsidR="00C76031">
        <w:rPr>
          <w:lang w:val="sr-Latn-CS"/>
        </w:rPr>
        <w:t xml:space="preserve"> </w:t>
      </w:r>
      <w:r>
        <w:rPr>
          <w:lang w:val="sr-Latn-CS"/>
        </w:rPr>
        <w:t>од</w:t>
      </w:r>
      <w:r w:rsidR="00C76031">
        <w:rPr>
          <w:lang w:val="sr-Latn-CS"/>
        </w:rPr>
        <w:t xml:space="preserve"> </w:t>
      </w:r>
      <w:r>
        <w:rPr>
          <w:lang w:val="sr-Latn-CS"/>
        </w:rPr>
        <w:t>процјене</w:t>
      </w:r>
      <w:r w:rsidR="00C76031">
        <w:rPr>
          <w:lang w:val="sr-Latn-CS"/>
        </w:rPr>
        <w:t xml:space="preserve"> </w:t>
      </w:r>
      <w:r>
        <w:rPr>
          <w:lang w:val="sr-Latn-CS"/>
        </w:rPr>
        <w:t>остварења</w:t>
      </w:r>
      <w:r w:rsidR="001E255E">
        <w:rPr>
          <w:lang w:val="sr-Latn-CS"/>
        </w:rPr>
        <w:t xml:space="preserve"> </w:t>
      </w:r>
      <w:r>
        <w:rPr>
          <w:lang w:val="sr-Latn-CS"/>
        </w:rPr>
        <w:t>за</w:t>
      </w:r>
      <w:r w:rsidR="003B2382">
        <w:rPr>
          <w:lang w:val="sr-Latn-CS"/>
        </w:rPr>
        <w:t xml:space="preserve"> 202</w:t>
      </w:r>
      <w:r w:rsidR="00CB1CA2">
        <w:rPr>
          <w:lang w:val="sr-Cyrl-BA"/>
        </w:rPr>
        <w:t>4</w:t>
      </w:r>
      <w:r w:rsidR="00C76031">
        <w:rPr>
          <w:lang w:val="sr-Latn-CS"/>
        </w:rPr>
        <w:t xml:space="preserve">. </w:t>
      </w:r>
      <w:r>
        <w:rPr>
          <w:lang w:val="sr-Latn-CS"/>
        </w:rPr>
        <w:t>годину</w:t>
      </w:r>
      <w:r w:rsidR="00C76031">
        <w:rPr>
          <w:lang w:val="sr-Latn-CS"/>
        </w:rPr>
        <w:t xml:space="preserve">. </w:t>
      </w:r>
      <w:r>
        <w:rPr>
          <w:lang w:val="sr-Latn-CS"/>
        </w:rPr>
        <w:t>Повећање</w:t>
      </w:r>
      <w:r w:rsidR="00C76031">
        <w:rPr>
          <w:lang w:val="sr-Latn-CS"/>
        </w:rPr>
        <w:t xml:space="preserve"> </w:t>
      </w:r>
      <w:r>
        <w:rPr>
          <w:lang w:val="sr-Latn-CS"/>
        </w:rPr>
        <w:t>прихода</w:t>
      </w:r>
      <w:r w:rsidR="00C76031">
        <w:rPr>
          <w:lang w:val="sr-Latn-CS"/>
        </w:rPr>
        <w:t xml:space="preserve"> </w:t>
      </w:r>
      <w:r>
        <w:rPr>
          <w:lang w:val="sr-Latn-CS"/>
        </w:rPr>
        <w:t>од</w:t>
      </w:r>
      <w:r w:rsidR="00C76031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C76031">
        <w:rPr>
          <w:lang w:val="sr-Latn-CS"/>
        </w:rPr>
        <w:t xml:space="preserve"> </w:t>
      </w:r>
      <w:r>
        <w:rPr>
          <w:lang w:val="sr-Latn-CS"/>
        </w:rPr>
        <w:t>одвоза</w:t>
      </w:r>
      <w:r w:rsidR="00C76031">
        <w:rPr>
          <w:lang w:val="sr-Latn-CS"/>
        </w:rPr>
        <w:t xml:space="preserve"> </w:t>
      </w:r>
      <w:r>
        <w:rPr>
          <w:lang w:val="sr-Latn-CS"/>
        </w:rPr>
        <w:t>чврстог</w:t>
      </w:r>
      <w:r w:rsidR="00C76031">
        <w:rPr>
          <w:lang w:val="sr-Latn-CS"/>
        </w:rPr>
        <w:t xml:space="preserve"> </w:t>
      </w:r>
      <w:r>
        <w:rPr>
          <w:lang w:val="sr-Latn-CS"/>
        </w:rPr>
        <w:t>комуналног</w:t>
      </w:r>
      <w:r w:rsidR="00C76031">
        <w:rPr>
          <w:lang w:val="sr-Latn-CS"/>
        </w:rPr>
        <w:t xml:space="preserve"> </w:t>
      </w:r>
      <w:r>
        <w:rPr>
          <w:lang w:val="sr-Latn-CS"/>
        </w:rPr>
        <w:t>отпада</w:t>
      </w:r>
      <w:r w:rsidR="00C76031">
        <w:rPr>
          <w:lang w:val="sr-Latn-CS"/>
        </w:rPr>
        <w:t xml:space="preserve"> </w:t>
      </w:r>
      <w:r>
        <w:rPr>
          <w:lang w:val="sr-Latn-CS"/>
        </w:rPr>
        <w:t>власницима</w:t>
      </w:r>
      <w:r w:rsidR="00C76031">
        <w:rPr>
          <w:lang w:val="sr-Latn-CS"/>
        </w:rPr>
        <w:t xml:space="preserve"> </w:t>
      </w:r>
      <w:r>
        <w:rPr>
          <w:lang w:val="sr-Latn-CS"/>
        </w:rPr>
        <w:t>и</w:t>
      </w:r>
      <w:r w:rsidR="00C76031">
        <w:rPr>
          <w:lang w:val="sr-Latn-CS"/>
        </w:rPr>
        <w:t xml:space="preserve"> </w:t>
      </w:r>
      <w:r>
        <w:rPr>
          <w:lang w:val="sr-Latn-CS"/>
        </w:rPr>
        <w:t>корисницима</w:t>
      </w:r>
      <w:r w:rsidR="00C76031">
        <w:rPr>
          <w:lang w:val="sr-Latn-CS"/>
        </w:rPr>
        <w:t xml:space="preserve"> </w:t>
      </w:r>
      <w:r>
        <w:rPr>
          <w:lang w:val="sr-Latn-CS"/>
        </w:rPr>
        <w:t>стамбених</w:t>
      </w:r>
      <w:r w:rsidR="00C76031">
        <w:rPr>
          <w:lang w:val="sr-Latn-CS"/>
        </w:rPr>
        <w:t xml:space="preserve"> </w:t>
      </w:r>
      <w:r>
        <w:rPr>
          <w:lang w:val="sr-Latn-CS"/>
        </w:rPr>
        <w:t>објеката</w:t>
      </w:r>
      <w:r w:rsidR="00C76031">
        <w:rPr>
          <w:lang w:val="sr-Latn-CS"/>
        </w:rPr>
        <w:t xml:space="preserve">, </w:t>
      </w:r>
      <w:r>
        <w:rPr>
          <w:lang w:val="sr-Latn-CS"/>
        </w:rPr>
        <w:t>планирано</w:t>
      </w:r>
      <w:r w:rsidR="00C76031">
        <w:rPr>
          <w:lang w:val="sr-Latn-CS"/>
        </w:rPr>
        <w:t xml:space="preserve"> </w:t>
      </w:r>
      <w:r>
        <w:rPr>
          <w:lang w:val="sr-Latn-CS"/>
        </w:rPr>
        <w:t>је</w:t>
      </w:r>
      <w:r w:rsidR="00C76031">
        <w:rPr>
          <w:lang w:val="sr-Latn-CS"/>
        </w:rPr>
        <w:t xml:space="preserve"> </w:t>
      </w:r>
      <w:r w:rsidR="00736047">
        <w:rPr>
          <w:lang w:val="sr-Cyrl-BA"/>
        </w:rPr>
        <w:t>по</w:t>
      </w:r>
      <w:r w:rsidR="00F57166">
        <w:rPr>
          <w:lang w:val="sr-Cyrl-BA"/>
        </w:rPr>
        <w:t xml:space="preserve"> </w:t>
      </w:r>
      <w:r>
        <w:rPr>
          <w:lang w:val="sr-Latn-CS"/>
        </w:rPr>
        <w:t>основу</w:t>
      </w:r>
      <w:r w:rsidR="00C76031">
        <w:rPr>
          <w:lang w:val="sr-Latn-CS"/>
        </w:rPr>
        <w:t xml:space="preserve"> </w:t>
      </w:r>
      <w:r>
        <w:rPr>
          <w:lang w:val="sr-Latn-CS"/>
        </w:rPr>
        <w:t>повећања</w:t>
      </w:r>
      <w:r w:rsidR="00CB1CA2">
        <w:rPr>
          <w:lang w:val="sr-Cyrl-BA"/>
        </w:rPr>
        <w:t xml:space="preserve"> </w:t>
      </w:r>
      <w:r>
        <w:rPr>
          <w:lang w:val="sr-Latn-CS"/>
        </w:rPr>
        <w:t>броја</w:t>
      </w:r>
      <w:r w:rsidR="00C46A4F">
        <w:rPr>
          <w:lang w:val="sr-Latn-CS"/>
        </w:rPr>
        <w:t xml:space="preserve"> </w:t>
      </w:r>
      <w:r>
        <w:rPr>
          <w:lang w:val="sr-Latn-CS"/>
        </w:rPr>
        <w:t>корисника</w:t>
      </w:r>
      <w:r w:rsidR="00C46A4F">
        <w:rPr>
          <w:lang w:val="sr-Latn-CS"/>
        </w:rPr>
        <w:t xml:space="preserve"> </w:t>
      </w:r>
      <w:r>
        <w:rPr>
          <w:lang w:val="sr-Latn-CS"/>
        </w:rPr>
        <w:t>одвоза</w:t>
      </w:r>
      <w:r w:rsidR="001E255E">
        <w:rPr>
          <w:lang w:val="sr-Latn-CS"/>
        </w:rPr>
        <w:t xml:space="preserve"> </w:t>
      </w:r>
      <w:r>
        <w:rPr>
          <w:lang w:val="sr-Latn-CS"/>
        </w:rPr>
        <w:t>чврстог</w:t>
      </w:r>
      <w:r w:rsidR="001E255E">
        <w:rPr>
          <w:lang w:val="sr-Latn-CS"/>
        </w:rPr>
        <w:t xml:space="preserve"> </w:t>
      </w:r>
      <w:r>
        <w:rPr>
          <w:lang w:val="sr-Latn-CS"/>
        </w:rPr>
        <w:t>комуналног</w:t>
      </w:r>
      <w:r w:rsidR="001E255E">
        <w:rPr>
          <w:lang w:val="sr-Latn-CS"/>
        </w:rPr>
        <w:t xml:space="preserve"> </w:t>
      </w:r>
      <w:r>
        <w:rPr>
          <w:lang w:val="sr-Latn-CS"/>
        </w:rPr>
        <w:t>отпада</w:t>
      </w:r>
      <w:r w:rsidR="00CB1CA2">
        <w:rPr>
          <w:lang w:val="sr-Cyrl-BA"/>
        </w:rPr>
        <w:t xml:space="preserve"> и ревизије корисних стамбених површина.</w:t>
      </w:r>
    </w:p>
    <w:p w:rsidR="00765858" w:rsidRDefault="00F57166" w:rsidP="00AA03C8">
      <w:pPr>
        <w:ind w:firstLine="720"/>
        <w:jc w:val="both"/>
        <w:rPr>
          <w:lang w:val="sr-Cyrl-BA"/>
        </w:rPr>
      </w:pPr>
      <w:r w:rsidRPr="00BE7537">
        <w:rPr>
          <w:lang w:val="sr-Cyrl-BA"/>
        </w:rPr>
        <w:t xml:space="preserve">Контролом корисних стамбених површина </w:t>
      </w:r>
      <w:r w:rsidR="00765858" w:rsidRPr="00BE7537">
        <w:rPr>
          <w:lang w:val="sr-Cyrl-BA"/>
        </w:rPr>
        <w:t xml:space="preserve">утврђено </w:t>
      </w:r>
      <w:r w:rsidRPr="00BE7537">
        <w:rPr>
          <w:lang w:val="sr-Cyrl-BA"/>
        </w:rPr>
        <w:t xml:space="preserve">је </w:t>
      </w:r>
      <w:r w:rsidR="00765858" w:rsidRPr="00BE7537">
        <w:rPr>
          <w:lang w:val="sr-Cyrl-BA"/>
        </w:rPr>
        <w:t>одступање на терену у односу на евидентирано стање</w:t>
      </w:r>
      <w:r w:rsidRPr="00BE7537">
        <w:rPr>
          <w:lang w:val="sr-Cyrl-BA"/>
        </w:rPr>
        <w:t>, те је неопходно предузети све мјере не евидентирању стварног стања.</w:t>
      </w:r>
      <w:r w:rsidR="00C46A4F" w:rsidRPr="00BE7537">
        <w:rPr>
          <w:lang w:val="sr-Latn-CS"/>
        </w:rPr>
        <w:t xml:space="preserve"> </w:t>
      </w:r>
    </w:p>
    <w:p w:rsidR="00271E37" w:rsidRDefault="009129D1" w:rsidP="00AA03C8">
      <w:pPr>
        <w:ind w:firstLine="720"/>
        <w:jc w:val="both"/>
        <w:rPr>
          <w:lang w:val="sr-Cyrl-BA"/>
        </w:rPr>
      </w:pPr>
      <w:r>
        <w:rPr>
          <w:lang w:val="sr-Latn-CS"/>
        </w:rPr>
        <w:t>Приходи</w:t>
      </w:r>
      <w:r w:rsidR="006942AA">
        <w:rPr>
          <w:lang w:val="sr-Latn-CS"/>
        </w:rPr>
        <w:t xml:space="preserve"> </w:t>
      </w:r>
      <w:r>
        <w:rPr>
          <w:lang w:val="sr-Latn-CS"/>
        </w:rPr>
        <w:t>од</w:t>
      </w:r>
      <w:r w:rsidR="006942AA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6942AA">
        <w:rPr>
          <w:lang w:val="sr-Latn-CS"/>
        </w:rPr>
        <w:t xml:space="preserve"> </w:t>
      </w:r>
      <w:r>
        <w:rPr>
          <w:lang w:val="sr-Latn-CS"/>
        </w:rPr>
        <w:t>одвоза</w:t>
      </w:r>
      <w:r w:rsidR="006942AA">
        <w:rPr>
          <w:lang w:val="sr-Latn-CS"/>
        </w:rPr>
        <w:t xml:space="preserve"> </w:t>
      </w:r>
      <w:r>
        <w:rPr>
          <w:lang w:val="sr-Latn-CS"/>
        </w:rPr>
        <w:t>чврстог</w:t>
      </w:r>
      <w:r w:rsidR="006942AA">
        <w:rPr>
          <w:lang w:val="sr-Latn-CS"/>
        </w:rPr>
        <w:t xml:space="preserve"> </w:t>
      </w:r>
      <w:r>
        <w:rPr>
          <w:lang w:val="sr-Latn-CS"/>
        </w:rPr>
        <w:t>комуналног</w:t>
      </w:r>
      <w:r w:rsidR="006942AA">
        <w:rPr>
          <w:lang w:val="sr-Latn-CS"/>
        </w:rPr>
        <w:t xml:space="preserve"> </w:t>
      </w:r>
      <w:r>
        <w:rPr>
          <w:lang w:val="sr-Latn-CS"/>
        </w:rPr>
        <w:t>отпада</w:t>
      </w:r>
      <w:r w:rsidR="006942AA">
        <w:rPr>
          <w:lang w:val="sr-Latn-CS"/>
        </w:rPr>
        <w:t xml:space="preserve"> </w:t>
      </w:r>
      <w:r>
        <w:rPr>
          <w:lang w:val="sr-Latn-CS"/>
        </w:rPr>
        <w:t>правним</w:t>
      </w:r>
      <w:r w:rsidR="006942AA">
        <w:rPr>
          <w:lang w:val="sr-Latn-CS"/>
        </w:rPr>
        <w:t xml:space="preserve"> </w:t>
      </w:r>
      <w:r>
        <w:rPr>
          <w:lang w:val="sr-Latn-CS"/>
        </w:rPr>
        <w:t>субјектима</w:t>
      </w:r>
      <w:r w:rsidR="00C20B6E">
        <w:rPr>
          <w:lang w:val="sr-Latn-CS"/>
        </w:rPr>
        <w:t xml:space="preserve"> </w:t>
      </w:r>
      <w:r>
        <w:rPr>
          <w:lang w:val="sr-Latn-CS"/>
        </w:rPr>
        <w:t>из</w:t>
      </w:r>
      <w:r w:rsidR="00C20B6E">
        <w:rPr>
          <w:lang w:val="sr-Latn-CS"/>
        </w:rPr>
        <w:t xml:space="preserve"> </w:t>
      </w:r>
      <w:r>
        <w:rPr>
          <w:lang w:val="sr-Latn-CS"/>
        </w:rPr>
        <w:t>Републике</w:t>
      </w:r>
      <w:r w:rsidR="00C20B6E">
        <w:rPr>
          <w:lang w:val="sr-Latn-CS"/>
        </w:rPr>
        <w:t xml:space="preserve"> </w:t>
      </w:r>
      <w:r>
        <w:rPr>
          <w:lang w:val="sr-Latn-CS"/>
        </w:rPr>
        <w:t>Српске</w:t>
      </w:r>
      <w:r w:rsidR="00554B1D">
        <w:rPr>
          <w:lang w:val="sr-Latn-CS"/>
        </w:rPr>
        <w:t>,</w:t>
      </w:r>
      <w:r w:rsidR="006942AA">
        <w:rPr>
          <w:lang w:val="sr-Latn-CS"/>
        </w:rPr>
        <w:t xml:space="preserve"> </w:t>
      </w:r>
      <w:r>
        <w:rPr>
          <w:lang w:val="sr-Latn-CS"/>
        </w:rPr>
        <w:t>планирани</w:t>
      </w:r>
      <w:r w:rsidR="001E255E">
        <w:rPr>
          <w:lang w:val="sr-Latn-CS"/>
        </w:rPr>
        <w:t xml:space="preserve"> </w:t>
      </w:r>
      <w:r>
        <w:rPr>
          <w:lang w:val="sr-Latn-CS"/>
        </w:rPr>
        <w:t>су</w:t>
      </w:r>
      <w:r w:rsidR="001E255E">
        <w:rPr>
          <w:lang w:val="sr-Latn-CS"/>
        </w:rPr>
        <w:t xml:space="preserve"> </w:t>
      </w:r>
      <w:r>
        <w:rPr>
          <w:lang w:val="sr-Latn-CS"/>
        </w:rPr>
        <w:t>у</w:t>
      </w:r>
      <w:r w:rsidR="001E255E">
        <w:rPr>
          <w:lang w:val="sr-Latn-CS"/>
        </w:rPr>
        <w:t xml:space="preserve"> </w:t>
      </w:r>
      <w:r>
        <w:rPr>
          <w:lang w:val="sr-Latn-CS"/>
        </w:rPr>
        <w:t>износу</w:t>
      </w:r>
      <w:r w:rsidR="001E255E">
        <w:rPr>
          <w:lang w:val="sr-Latn-CS"/>
        </w:rPr>
        <w:t xml:space="preserve"> </w:t>
      </w:r>
      <w:r>
        <w:rPr>
          <w:lang w:val="sr-Latn-CS"/>
        </w:rPr>
        <w:t>од</w:t>
      </w:r>
      <w:r w:rsidR="0016799A">
        <w:rPr>
          <w:lang w:val="sr-Cyrl-BA"/>
        </w:rPr>
        <w:t xml:space="preserve"> 1.60</w:t>
      </w:r>
      <w:r w:rsidR="003C458D">
        <w:rPr>
          <w:lang w:val="sr-Cyrl-BA"/>
        </w:rPr>
        <w:t>0</w:t>
      </w:r>
      <w:r w:rsidR="00C46A4F">
        <w:rPr>
          <w:lang w:val="sr-Latn-CS"/>
        </w:rPr>
        <w:t xml:space="preserve">.000,00 </w:t>
      </w:r>
      <w:r>
        <w:rPr>
          <w:lang w:val="sr-Latn-CS"/>
        </w:rPr>
        <w:t>КМ</w:t>
      </w:r>
      <w:r w:rsidR="00C46A4F">
        <w:rPr>
          <w:lang w:val="sr-Latn-CS"/>
        </w:rPr>
        <w:t xml:space="preserve">, </w:t>
      </w:r>
      <w:r>
        <w:rPr>
          <w:lang w:val="sr-Latn-CS"/>
        </w:rPr>
        <w:t>односно</w:t>
      </w:r>
      <w:r w:rsidR="001E255E">
        <w:rPr>
          <w:lang w:val="sr-Latn-CS"/>
        </w:rPr>
        <w:t xml:space="preserve"> </w:t>
      </w:r>
      <w:r>
        <w:rPr>
          <w:lang w:val="sr-Latn-CS"/>
        </w:rPr>
        <w:t>за</w:t>
      </w:r>
      <w:r w:rsidR="00765858">
        <w:rPr>
          <w:lang w:val="sr-Latn-CS"/>
        </w:rPr>
        <w:t xml:space="preserve"> </w:t>
      </w:r>
      <w:r w:rsidR="0016799A">
        <w:rPr>
          <w:lang w:val="sr-Cyrl-BA"/>
        </w:rPr>
        <w:t>6,41</w:t>
      </w:r>
      <w:r w:rsidR="006942AA">
        <w:rPr>
          <w:lang w:val="sr-Latn-CS"/>
        </w:rPr>
        <w:t xml:space="preserve">% </w:t>
      </w:r>
      <w:r>
        <w:rPr>
          <w:lang w:val="sr-Latn-CS"/>
        </w:rPr>
        <w:t>више</w:t>
      </w:r>
      <w:r w:rsidR="006942AA">
        <w:rPr>
          <w:lang w:val="sr-Latn-CS"/>
        </w:rPr>
        <w:t xml:space="preserve"> </w:t>
      </w:r>
      <w:r>
        <w:rPr>
          <w:lang w:val="sr-Latn-CS"/>
        </w:rPr>
        <w:t>у</w:t>
      </w:r>
      <w:r w:rsidR="006942AA">
        <w:rPr>
          <w:lang w:val="sr-Latn-CS"/>
        </w:rPr>
        <w:t xml:space="preserve"> </w:t>
      </w:r>
      <w:r>
        <w:rPr>
          <w:lang w:val="sr-Latn-CS"/>
        </w:rPr>
        <w:t>односу</w:t>
      </w:r>
      <w:r w:rsidR="001E255E">
        <w:rPr>
          <w:lang w:val="sr-Latn-CS"/>
        </w:rPr>
        <w:t xml:space="preserve"> </w:t>
      </w:r>
      <w:r>
        <w:rPr>
          <w:lang w:val="sr-Latn-CS"/>
        </w:rPr>
        <w:t>на</w:t>
      </w:r>
      <w:r w:rsidR="001E255E">
        <w:rPr>
          <w:lang w:val="sr-Latn-CS"/>
        </w:rPr>
        <w:t xml:space="preserve"> </w:t>
      </w:r>
      <w:r>
        <w:rPr>
          <w:lang w:val="sr-Latn-CS"/>
        </w:rPr>
        <w:t>процјену</w:t>
      </w:r>
      <w:r w:rsidR="001E255E">
        <w:rPr>
          <w:lang w:val="sr-Latn-CS"/>
        </w:rPr>
        <w:t xml:space="preserve"> </w:t>
      </w:r>
      <w:r>
        <w:rPr>
          <w:lang w:val="sr-Latn-CS"/>
        </w:rPr>
        <w:t>остварења</w:t>
      </w:r>
      <w:r w:rsidR="001E255E">
        <w:rPr>
          <w:lang w:val="sr-Latn-CS"/>
        </w:rPr>
        <w:t xml:space="preserve"> </w:t>
      </w:r>
      <w:r>
        <w:rPr>
          <w:lang w:val="sr-Latn-CS"/>
        </w:rPr>
        <w:t>за</w:t>
      </w:r>
      <w:r w:rsidR="001E255E">
        <w:rPr>
          <w:lang w:val="sr-Latn-CS"/>
        </w:rPr>
        <w:t xml:space="preserve"> 202</w:t>
      </w:r>
      <w:r w:rsidR="0016799A">
        <w:rPr>
          <w:lang w:val="sr-Cyrl-BA"/>
        </w:rPr>
        <w:t>4</w:t>
      </w:r>
      <w:r w:rsidR="00C46A4F">
        <w:rPr>
          <w:lang w:val="sr-Latn-CS"/>
        </w:rPr>
        <w:t xml:space="preserve">. </w:t>
      </w:r>
      <w:r>
        <w:rPr>
          <w:lang w:val="sr-Latn-CS"/>
        </w:rPr>
        <w:t>годину</w:t>
      </w:r>
      <w:r w:rsidR="00C46A4F">
        <w:rPr>
          <w:lang w:val="sr-Latn-CS"/>
        </w:rPr>
        <w:t xml:space="preserve">, </w:t>
      </w:r>
      <w:r>
        <w:rPr>
          <w:lang w:val="sr-Latn-CS"/>
        </w:rPr>
        <w:t>а</w:t>
      </w:r>
      <w:r w:rsidR="00C46A4F">
        <w:rPr>
          <w:lang w:val="sr-Latn-CS"/>
        </w:rPr>
        <w:t xml:space="preserve"> </w:t>
      </w:r>
      <w:r>
        <w:rPr>
          <w:lang w:val="sr-Latn-CS"/>
        </w:rPr>
        <w:t>по</w:t>
      </w:r>
      <w:r w:rsidR="00C46A4F">
        <w:rPr>
          <w:lang w:val="sr-Latn-CS"/>
        </w:rPr>
        <w:t xml:space="preserve"> </w:t>
      </w:r>
      <w:r>
        <w:rPr>
          <w:lang w:val="sr-Latn-CS"/>
        </w:rPr>
        <w:t>основу</w:t>
      </w:r>
      <w:r w:rsidR="00C46A4F">
        <w:rPr>
          <w:lang w:val="sr-Latn-CS"/>
        </w:rPr>
        <w:t xml:space="preserve"> </w:t>
      </w:r>
      <w:r w:rsidR="00736047">
        <w:rPr>
          <w:lang w:val="sr-Cyrl-BA"/>
        </w:rPr>
        <w:t xml:space="preserve">повећања </w:t>
      </w:r>
      <w:r w:rsidR="00871FB2">
        <w:rPr>
          <w:lang w:val="sr-Cyrl-BA"/>
        </w:rPr>
        <w:t xml:space="preserve">броја нових корисника и провјере </w:t>
      </w:r>
      <w:r w:rsidR="003C458D">
        <w:rPr>
          <w:lang w:val="sr-Cyrl-BA"/>
        </w:rPr>
        <w:t xml:space="preserve">евиденције </w:t>
      </w:r>
      <w:r w:rsidR="00BA515D">
        <w:rPr>
          <w:lang w:val="sr-Cyrl-BA"/>
        </w:rPr>
        <w:t xml:space="preserve">задужења </w:t>
      </w:r>
      <w:r w:rsidR="00765858">
        <w:rPr>
          <w:lang w:val="sr-Cyrl-BA"/>
        </w:rPr>
        <w:t>постојећих корисника са</w:t>
      </w:r>
      <w:r w:rsidR="00871FB2">
        <w:rPr>
          <w:lang w:val="sr-Cyrl-BA"/>
        </w:rPr>
        <w:t xml:space="preserve"> важећим цјеновником комуналних услуга.</w:t>
      </w:r>
    </w:p>
    <w:p w:rsidR="00271E37" w:rsidRDefault="00271E37" w:rsidP="00AA03C8">
      <w:pPr>
        <w:ind w:firstLine="720"/>
        <w:jc w:val="both"/>
        <w:rPr>
          <w:lang w:val="sr-Cyrl-BA"/>
        </w:rPr>
      </w:pPr>
      <w:r>
        <w:rPr>
          <w:lang w:val="sr-Cyrl-BA"/>
        </w:rPr>
        <w:t>Остали прихо</w:t>
      </w:r>
      <w:r w:rsidR="00736047">
        <w:rPr>
          <w:lang w:val="sr-Cyrl-BA"/>
        </w:rPr>
        <w:t>ди у оквиру синтетичког конта 62</w:t>
      </w:r>
      <w:r>
        <w:rPr>
          <w:lang w:val="sr-Cyrl-BA"/>
        </w:rPr>
        <w:t>1, планирани су на нивоу остварења претходне године</w:t>
      </w:r>
      <w:r w:rsidR="00BA515D">
        <w:rPr>
          <w:lang w:val="sr-Cyrl-BA"/>
        </w:rPr>
        <w:t>, изузев прихода од услуга фекалне цистерне, која није регистрована, јер је иста у потпуности амортизована, односно онемогућено је пружање услуга због дотрајалости возила, гдје су трошкови одржавања возила већи од остварених прихода</w:t>
      </w:r>
      <w:r>
        <w:rPr>
          <w:lang w:val="sr-Cyrl-BA"/>
        </w:rPr>
        <w:t>.</w:t>
      </w:r>
    </w:p>
    <w:p w:rsidR="00271E37" w:rsidRPr="00265A4A" w:rsidRDefault="00271E37" w:rsidP="00AA03C8">
      <w:pPr>
        <w:ind w:firstLine="720"/>
        <w:jc w:val="both"/>
        <w:rPr>
          <w:sz w:val="16"/>
          <w:szCs w:val="16"/>
          <w:lang w:val="sr-Cyrl-BA"/>
        </w:rPr>
      </w:pPr>
    </w:p>
    <w:p w:rsidR="00B21DD8" w:rsidRPr="00875801" w:rsidRDefault="00B21DD8" w:rsidP="00B21DD8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62</w:t>
      </w:r>
      <w:r>
        <w:rPr>
          <w:b/>
          <w:lang w:val="sr-Latn-BA"/>
        </w:rPr>
        <w:t>2</w:t>
      </w:r>
      <w:r>
        <w:rPr>
          <w:b/>
          <w:lang w:val="sr-Cyrl-BA"/>
        </w:rPr>
        <w:t xml:space="preserve"> – Приходи од пружени</w:t>
      </w:r>
      <w:r w:rsidR="0016799A">
        <w:rPr>
          <w:b/>
          <w:lang w:val="sr-Cyrl-BA"/>
        </w:rPr>
        <w:t>х услуга у Федерацији БиХ – 1,14</w:t>
      </w:r>
      <w:r>
        <w:rPr>
          <w:b/>
          <w:lang w:val="sr-Cyrl-BA"/>
        </w:rPr>
        <w:t>%</w:t>
      </w:r>
    </w:p>
    <w:p w:rsidR="00B21DD8" w:rsidRPr="00FE6720" w:rsidRDefault="00B21DD8" w:rsidP="00B21DD8">
      <w:pPr>
        <w:ind w:firstLine="720"/>
        <w:jc w:val="both"/>
        <w:rPr>
          <w:sz w:val="8"/>
          <w:szCs w:val="8"/>
          <w:lang w:val="sr-Cyrl-BA"/>
        </w:rPr>
      </w:pPr>
    </w:p>
    <w:p w:rsidR="00B21DD8" w:rsidRDefault="00B21DD8" w:rsidP="00B21DD8">
      <w:pPr>
        <w:ind w:firstLine="720"/>
        <w:jc w:val="both"/>
        <w:rPr>
          <w:lang w:val="sr-Latn-CS"/>
        </w:rPr>
      </w:pPr>
      <w:r>
        <w:rPr>
          <w:lang w:val="sr-Cyrl-BA"/>
        </w:rPr>
        <w:t>Приходи од пружених услуга у Федерацији БиХ пла</w:t>
      </w:r>
      <w:r w:rsidR="0016799A">
        <w:rPr>
          <w:lang w:val="sr-Cyrl-BA"/>
        </w:rPr>
        <w:t>нирани су у укупном износу од 87.5</w:t>
      </w:r>
      <w:r>
        <w:rPr>
          <w:lang w:val="sr-Cyrl-BA"/>
        </w:rPr>
        <w:t>00,00 КМ са учешћем у уку</w:t>
      </w:r>
      <w:r w:rsidR="0016799A">
        <w:rPr>
          <w:lang w:val="sr-Cyrl-BA"/>
        </w:rPr>
        <w:t>пно планираним приходима од 1,14</w:t>
      </w:r>
      <w:r>
        <w:rPr>
          <w:lang w:val="sr-Cyrl-BA"/>
        </w:rPr>
        <w:t>%. План ових прихода рађен је н</w:t>
      </w:r>
      <w:r w:rsidR="0016799A">
        <w:rPr>
          <w:lang w:val="sr-Cyrl-BA"/>
        </w:rPr>
        <w:t>а основу процјене остварења 2024</w:t>
      </w:r>
      <w:r>
        <w:rPr>
          <w:lang w:val="sr-Cyrl-BA"/>
        </w:rPr>
        <w:t>. године и</w:t>
      </w:r>
      <w:r w:rsidR="0016799A">
        <w:rPr>
          <w:lang w:val="sr-Cyrl-BA"/>
        </w:rPr>
        <w:t xml:space="preserve"> незнатног повећања броја нових корисника</w:t>
      </w:r>
      <w:r>
        <w:rPr>
          <w:lang w:val="sr-Cyrl-BA"/>
        </w:rPr>
        <w:t xml:space="preserve">.  </w:t>
      </w:r>
    </w:p>
    <w:p w:rsidR="00B21DD8" w:rsidRPr="00265A4A" w:rsidRDefault="00B21DD8" w:rsidP="00B21DD8">
      <w:pPr>
        <w:ind w:firstLine="720"/>
        <w:jc w:val="both"/>
        <w:rPr>
          <w:sz w:val="16"/>
          <w:szCs w:val="16"/>
          <w:lang w:val="sr-Latn-BA"/>
        </w:rPr>
      </w:pPr>
    </w:p>
    <w:p w:rsidR="00E26AD8" w:rsidRPr="0016799A" w:rsidRDefault="00E26AD8" w:rsidP="00AA03C8">
      <w:pPr>
        <w:ind w:firstLine="720"/>
        <w:jc w:val="both"/>
        <w:rPr>
          <w:lang w:val="sr-Cyrl-BA"/>
        </w:rPr>
      </w:pPr>
      <w:r w:rsidRPr="0016799A">
        <w:rPr>
          <w:b/>
          <w:lang w:val="sr-Cyrl-BA"/>
        </w:rPr>
        <w:t>6</w:t>
      </w:r>
      <w:r w:rsidRPr="0016799A">
        <w:rPr>
          <w:b/>
          <w:lang/>
        </w:rPr>
        <w:t>51</w:t>
      </w:r>
      <w:r w:rsidRPr="0016799A">
        <w:rPr>
          <w:b/>
          <w:lang w:val="sr-Cyrl-BA"/>
        </w:rPr>
        <w:t xml:space="preserve"> – Приходи од закупа</w:t>
      </w:r>
      <w:r w:rsidR="0016799A" w:rsidRPr="0016799A">
        <w:rPr>
          <w:b/>
          <w:lang w:val="sr-Cyrl-BA"/>
        </w:rPr>
        <w:t xml:space="preserve"> – 7,55</w:t>
      </w:r>
      <w:r w:rsidR="00B72AC0" w:rsidRPr="0016799A">
        <w:rPr>
          <w:b/>
          <w:lang w:val="sr-Cyrl-BA"/>
        </w:rPr>
        <w:t>%</w:t>
      </w:r>
    </w:p>
    <w:p w:rsidR="00271E37" w:rsidRPr="00FE6720" w:rsidRDefault="00271E37" w:rsidP="00AA03C8">
      <w:pPr>
        <w:ind w:firstLine="720"/>
        <w:jc w:val="both"/>
        <w:rPr>
          <w:sz w:val="8"/>
          <w:szCs w:val="8"/>
          <w:lang w:val="sr-Cyrl-BA"/>
        </w:rPr>
      </w:pPr>
    </w:p>
    <w:p w:rsidR="001E3A06" w:rsidRPr="00BA515D" w:rsidRDefault="009129D1" w:rsidP="00AA03C8">
      <w:pPr>
        <w:ind w:firstLine="720"/>
        <w:jc w:val="both"/>
        <w:rPr>
          <w:lang w:val="sr-Cyrl-BA"/>
        </w:rPr>
      </w:pPr>
      <w:r>
        <w:rPr>
          <w:lang w:val="sr-Latn-CS"/>
        </w:rPr>
        <w:t>Планирани</w:t>
      </w:r>
      <w:r w:rsidR="004C7FBE">
        <w:rPr>
          <w:lang w:val="sr-Latn-CS"/>
        </w:rPr>
        <w:t xml:space="preserve"> </w:t>
      </w:r>
      <w:r>
        <w:rPr>
          <w:lang w:val="sr-Latn-CS"/>
        </w:rPr>
        <w:t>приходи</w:t>
      </w:r>
      <w:r w:rsidR="00F82763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F82763" w:rsidRPr="00EB3B89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AA03C8">
        <w:rPr>
          <w:lang w:val="sr-Latn-CS"/>
        </w:rPr>
        <w:t xml:space="preserve"> </w:t>
      </w:r>
      <w:r>
        <w:rPr>
          <w:lang w:val="sr-Latn-CS"/>
        </w:rPr>
        <w:t>закупа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пословних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простора</w:t>
      </w:r>
      <w:r w:rsidR="00A130F7">
        <w:rPr>
          <w:lang w:val="sr-Latn-CS"/>
        </w:rPr>
        <w:t>-</w:t>
      </w:r>
      <w:r>
        <w:rPr>
          <w:lang w:val="sr-Latn-CS"/>
        </w:rPr>
        <w:t>локала</w:t>
      </w:r>
      <w:r w:rsidR="00CD3E5C">
        <w:rPr>
          <w:lang w:val="sr-Latn-CS"/>
        </w:rPr>
        <w:t>,</w:t>
      </w:r>
      <w:r w:rsidR="004F36F3">
        <w:rPr>
          <w:lang w:val="sr-Latn-CS"/>
        </w:rPr>
        <w:t xml:space="preserve"> </w:t>
      </w:r>
      <w:r>
        <w:rPr>
          <w:lang w:val="sr-Latn-CS"/>
        </w:rPr>
        <w:t>који</w:t>
      </w:r>
      <w:r w:rsidR="004F36F3" w:rsidRPr="00EB3B89">
        <w:rPr>
          <w:lang w:val="sr-Latn-CS"/>
        </w:rPr>
        <w:t xml:space="preserve"> </w:t>
      </w:r>
      <w:r>
        <w:rPr>
          <w:lang w:val="sr-Latn-CS"/>
        </w:rPr>
        <w:t>су</w:t>
      </w:r>
      <w:r w:rsidR="004F36F3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4F36F3" w:rsidRPr="00EB3B89">
        <w:rPr>
          <w:lang w:val="sr-Latn-CS"/>
        </w:rPr>
        <w:t xml:space="preserve"> </w:t>
      </w:r>
      <w:r>
        <w:rPr>
          <w:lang w:val="sr-Latn-CS"/>
        </w:rPr>
        <w:t>власништву</w:t>
      </w:r>
      <w:r w:rsidR="004F36F3" w:rsidRPr="00EB3B89">
        <w:rPr>
          <w:lang w:val="sr-Latn-CS"/>
        </w:rPr>
        <w:t xml:space="preserve"> </w:t>
      </w:r>
      <w:r>
        <w:rPr>
          <w:lang w:val="sr-Latn-CS"/>
        </w:rPr>
        <w:t>АД</w:t>
      </w:r>
      <w:r w:rsidR="004F36F3" w:rsidRPr="00EB3B89">
        <w:rPr>
          <w:lang w:val="sr-Latn-CS"/>
        </w:rPr>
        <w:t xml:space="preserve"> „</w:t>
      </w:r>
      <w:r>
        <w:rPr>
          <w:lang w:val="sr-Latn-CS"/>
        </w:rPr>
        <w:t>Комуналац</w:t>
      </w:r>
      <w:r w:rsidR="004F36F3" w:rsidRPr="00EB3B89">
        <w:rPr>
          <w:lang w:val="sr-Latn-CS"/>
        </w:rPr>
        <w:t>“</w:t>
      </w:r>
      <w:r w:rsidR="00871FB2">
        <w:rPr>
          <w:lang w:val="sr-Cyrl-BA"/>
        </w:rPr>
        <w:t xml:space="preserve"> Бијељина</w:t>
      </w:r>
      <w:r w:rsidR="004F36F3">
        <w:rPr>
          <w:lang w:val="sr-Latn-CS"/>
        </w:rPr>
        <w:t xml:space="preserve">, </w:t>
      </w:r>
      <w:r>
        <w:rPr>
          <w:lang w:val="sr-Latn-CS"/>
        </w:rPr>
        <w:t>износе</w:t>
      </w:r>
      <w:r w:rsidR="004C7FBE">
        <w:rPr>
          <w:lang w:val="sr-Latn-CS"/>
        </w:rPr>
        <w:t xml:space="preserve"> </w:t>
      </w:r>
      <w:r w:rsidR="00BA515D">
        <w:rPr>
          <w:lang w:val="sr-Latn-CS"/>
        </w:rPr>
        <w:t>2</w:t>
      </w:r>
      <w:r w:rsidR="00BA515D">
        <w:rPr>
          <w:lang w:val="sr-Cyrl-BA"/>
        </w:rPr>
        <w:t>3</w:t>
      </w:r>
      <w:r w:rsidR="001E255E">
        <w:rPr>
          <w:lang w:val="sr-Latn-CS"/>
        </w:rPr>
        <w:t>0</w:t>
      </w:r>
      <w:r w:rsidR="008C01F7">
        <w:rPr>
          <w:lang w:val="sr-Latn-CS"/>
        </w:rPr>
        <w:t>.000,00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КМ</w:t>
      </w:r>
      <w:r w:rsidR="00A130F7">
        <w:rPr>
          <w:lang w:val="sr-Latn-CS"/>
        </w:rPr>
        <w:t xml:space="preserve">, </w:t>
      </w:r>
      <w:r>
        <w:rPr>
          <w:lang w:val="sr-Latn-CS"/>
        </w:rPr>
        <w:t>са</w:t>
      </w:r>
      <w:r w:rsidR="00A130F7">
        <w:rPr>
          <w:lang w:val="sr-Latn-CS"/>
        </w:rPr>
        <w:t xml:space="preserve"> </w:t>
      </w:r>
      <w:r>
        <w:rPr>
          <w:lang w:val="sr-Latn-CS"/>
        </w:rPr>
        <w:t>учешћем</w:t>
      </w:r>
      <w:r w:rsidR="004C7FBE">
        <w:rPr>
          <w:lang w:val="sr-Latn-CS"/>
        </w:rPr>
        <w:t xml:space="preserve"> </w:t>
      </w:r>
      <w:r>
        <w:rPr>
          <w:lang w:val="sr-Latn-CS"/>
        </w:rPr>
        <w:t>у</w:t>
      </w:r>
      <w:r w:rsidR="00F82763" w:rsidRPr="00EB3B89">
        <w:rPr>
          <w:lang w:val="sr-Latn-CS"/>
        </w:rPr>
        <w:t xml:space="preserve"> </w:t>
      </w:r>
      <w:r>
        <w:rPr>
          <w:lang w:val="sr-Latn-CS"/>
        </w:rPr>
        <w:t>укупним</w:t>
      </w:r>
      <w:r w:rsidR="00F82763" w:rsidRPr="00EB3B89">
        <w:rPr>
          <w:lang w:val="sr-Latn-CS"/>
        </w:rPr>
        <w:t xml:space="preserve"> </w:t>
      </w:r>
      <w:r>
        <w:rPr>
          <w:lang w:val="sr-Latn-CS"/>
        </w:rPr>
        <w:t>приходима</w:t>
      </w:r>
      <w:r w:rsidR="00F82763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BA515D">
        <w:rPr>
          <w:lang w:val="sr-Latn-CS"/>
        </w:rPr>
        <w:t xml:space="preserve"> 3,</w:t>
      </w:r>
      <w:r w:rsidR="00743D63">
        <w:rPr>
          <w:lang w:val="sr-Cyrl-BA"/>
        </w:rPr>
        <w:t>01</w:t>
      </w:r>
      <w:r w:rsidR="006C6DE4" w:rsidRPr="00EB3B89">
        <w:rPr>
          <w:lang w:val="sr-Latn-CS"/>
        </w:rPr>
        <w:t>%</w:t>
      </w:r>
      <w:r w:rsidR="00AC28AE" w:rsidRPr="00EB3B89">
        <w:rPr>
          <w:lang w:val="sr-Latn-CS"/>
        </w:rPr>
        <w:t>.</w:t>
      </w:r>
      <w:r w:rsidR="00E06FF7">
        <w:rPr>
          <w:lang w:val="sr-Latn-CS"/>
        </w:rPr>
        <w:t xml:space="preserve"> </w:t>
      </w:r>
      <w:r>
        <w:rPr>
          <w:lang w:val="sr-Latn-CS"/>
        </w:rPr>
        <w:t>У</w:t>
      </w:r>
      <w:r w:rsidR="00E06FF7">
        <w:rPr>
          <w:lang w:val="sr-Latn-CS"/>
        </w:rPr>
        <w:t xml:space="preserve"> </w:t>
      </w:r>
      <w:r>
        <w:rPr>
          <w:lang w:val="sr-Latn-CS"/>
        </w:rPr>
        <w:t>току</w:t>
      </w:r>
      <w:r w:rsidR="00CC0E37">
        <w:rPr>
          <w:lang w:val="sr-Latn-CS"/>
        </w:rPr>
        <w:t xml:space="preserve"> 202</w:t>
      </w:r>
      <w:r w:rsidR="00743D63">
        <w:rPr>
          <w:lang w:val="sr-Cyrl-BA"/>
        </w:rPr>
        <w:t>4</w:t>
      </w:r>
      <w:r w:rsidR="00554B1D">
        <w:rPr>
          <w:lang w:val="sr-Latn-CS"/>
        </w:rPr>
        <w:t xml:space="preserve">. </w:t>
      </w:r>
      <w:r w:rsidR="00CC0E37">
        <w:rPr>
          <w:lang w:val="sr-Cyrl-BA"/>
        </w:rPr>
        <w:t>г</w:t>
      </w:r>
      <w:r w:rsidR="00CC0E37">
        <w:rPr>
          <w:lang w:val="sr-Latn-CS"/>
        </w:rPr>
        <w:t>один</w:t>
      </w:r>
      <w:r w:rsidR="00CC0E37">
        <w:rPr>
          <w:lang w:val="sr-Cyrl-BA"/>
        </w:rPr>
        <w:t>е,</w:t>
      </w:r>
      <w:r w:rsidR="00554B1D">
        <w:rPr>
          <w:lang w:val="sr-Latn-CS"/>
        </w:rPr>
        <w:t xml:space="preserve"> </w:t>
      </w:r>
      <w:r>
        <w:rPr>
          <w:lang w:val="sr-Latn-CS"/>
        </w:rPr>
        <w:t>дошло</w:t>
      </w:r>
      <w:r w:rsidR="00554B1D">
        <w:rPr>
          <w:lang w:val="sr-Latn-CS"/>
        </w:rPr>
        <w:t xml:space="preserve"> </w:t>
      </w:r>
      <w:r>
        <w:rPr>
          <w:lang w:val="sr-Latn-CS"/>
        </w:rPr>
        <w:t>је</w:t>
      </w:r>
      <w:r w:rsidR="00554B1D">
        <w:rPr>
          <w:lang w:val="sr-Latn-CS"/>
        </w:rPr>
        <w:t xml:space="preserve"> </w:t>
      </w:r>
      <w:r>
        <w:rPr>
          <w:lang w:val="sr-Latn-CS"/>
        </w:rPr>
        <w:t>до</w:t>
      </w:r>
      <w:r w:rsidR="00554B1D">
        <w:rPr>
          <w:lang w:val="sr-Latn-CS"/>
        </w:rPr>
        <w:t xml:space="preserve"> </w:t>
      </w:r>
      <w:r>
        <w:rPr>
          <w:lang w:val="sr-Latn-CS"/>
        </w:rPr>
        <w:t>значајног</w:t>
      </w:r>
      <w:r w:rsidR="00554B1D">
        <w:rPr>
          <w:lang w:val="sr-Latn-CS"/>
        </w:rPr>
        <w:t xml:space="preserve"> </w:t>
      </w:r>
      <w:r>
        <w:rPr>
          <w:lang w:val="sr-Latn-CS"/>
        </w:rPr>
        <w:t>пада</w:t>
      </w:r>
      <w:r w:rsidR="00554B1D">
        <w:rPr>
          <w:lang w:val="sr-Latn-CS"/>
        </w:rPr>
        <w:t xml:space="preserve"> </w:t>
      </w:r>
      <w:r>
        <w:rPr>
          <w:lang w:val="sr-Latn-CS"/>
        </w:rPr>
        <w:t>у</w:t>
      </w:r>
      <w:r w:rsidR="00554B1D">
        <w:rPr>
          <w:lang w:val="sr-Latn-CS"/>
        </w:rPr>
        <w:t xml:space="preserve"> </w:t>
      </w:r>
      <w:r>
        <w:rPr>
          <w:lang w:val="sr-Latn-CS"/>
        </w:rPr>
        <w:t>остварењу</w:t>
      </w:r>
      <w:r w:rsidR="00554B1D">
        <w:rPr>
          <w:lang w:val="sr-Latn-CS"/>
        </w:rPr>
        <w:t xml:space="preserve"> </w:t>
      </w:r>
      <w:r>
        <w:rPr>
          <w:lang w:val="sr-Latn-CS"/>
        </w:rPr>
        <w:t>прихода</w:t>
      </w:r>
      <w:r w:rsidR="00554B1D">
        <w:rPr>
          <w:lang w:val="sr-Latn-CS"/>
        </w:rPr>
        <w:t xml:space="preserve"> </w:t>
      </w:r>
      <w:r>
        <w:rPr>
          <w:lang w:val="sr-Latn-CS"/>
        </w:rPr>
        <w:t>од</w:t>
      </w:r>
      <w:r w:rsidR="00554B1D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554B1D">
        <w:rPr>
          <w:lang w:val="sr-Latn-CS"/>
        </w:rPr>
        <w:t xml:space="preserve"> </w:t>
      </w:r>
      <w:r>
        <w:rPr>
          <w:lang w:val="sr-Latn-CS"/>
        </w:rPr>
        <w:t>закупа</w:t>
      </w:r>
      <w:r w:rsidR="00554B1D">
        <w:rPr>
          <w:lang w:val="sr-Latn-CS"/>
        </w:rPr>
        <w:t xml:space="preserve">, </w:t>
      </w:r>
      <w:r>
        <w:rPr>
          <w:lang w:val="sr-Latn-CS"/>
        </w:rPr>
        <w:t>који</w:t>
      </w:r>
      <w:r w:rsidR="00554B1D">
        <w:rPr>
          <w:lang w:val="sr-Latn-CS"/>
        </w:rPr>
        <w:t xml:space="preserve"> </w:t>
      </w:r>
      <w:r>
        <w:rPr>
          <w:lang w:val="sr-Latn-CS"/>
        </w:rPr>
        <w:t>је</w:t>
      </w:r>
      <w:r w:rsidR="00554B1D">
        <w:rPr>
          <w:lang w:val="sr-Latn-CS"/>
        </w:rPr>
        <w:t xml:space="preserve"> </w:t>
      </w:r>
      <w:r>
        <w:rPr>
          <w:lang w:val="sr-Latn-CS"/>
        </w:rPr>
        <w:t>узрокован</w:t>
      </w:r>
      <w:r w:rsidR="00554B1D">
        <w:rPr>
          <w:lang w:val="sr-Latn-CS"/>
        </w:rPr>
        <w:t xml:space="preserve"> </w:t>
      </w:r>
      <w:r>
        <w:rPr>
          <w:lang w:val="sr-Latn-CS"/>
        </w:rPr>
        <w:t>немогућношћу</w:t>
      </w:r>
      <w:r w:rsidR="00174ACD">
        <w:rPr>
          <w:lang w:val="sr-Latn-CS"/>
        </w:rPr>
        <w:t xml:space="preserve"> </w:t>
      </w:r>
      <w:r>
        <w:rPr>
          <w:lang w:val="sr-Latn-CS"/>
        </w:rPr>
        <w:t>издавања</w:t>
      </w:r>
      <w:r w:rsidR="00174ACD">
        <w:rPr>
          <w:lang w:val="sr-Latn-CS"/>
        </w:rPr>
        <w:t xml:space="preserve"> </w:t>
      </w:r>
      <w:r>
        <w:rPr>
          <w:lang w:val="sr-Latn-CS"/>
        </w:rPr>
        <w:t>одређених</w:t>
      </w:r>
      <w:r w:rsidR="00174ACD">
        <w:rPr>
          <w:lang w:val="sr-Latn-CS"/>
        </w:rPr>
        <w:t xml:space="preserve"> </w:t>
      </w:r>
      <w:r>
        <w:rPr>
          <w:lang w:val="sr-Latn-CS"/>
        </w:rPr>
        <w:t>локала</w:t>
      </w:r>
      <w:r w:rsidR="00174ACD">
        <w:rPr>
          <w:lang w:val="sr-Latn-CS"/>
        </w:rPr>
        <w:t>.</w:t>
      </w:r>
      <w:r w:rsidR="00E06FF7">
        <w:rPr>
          <w:lang w:val="sr-Latn-CS"/>
        </w:rPr>
        <w:t xml:space="preserve"> </w:t>
      </w:r>
      <w:r>
        <w:rPr>
          <w:lang w:val="sr-Latn-CS"/>
        </w:rPr>
        <w:t>У</w:t>
      </w:r>
      <w:r w:rsidR="00CC0E37">
        <w:rPr>
          <w:lang w:val="sr-Latn-CS"/>
        </w:rPr>
        <w:t xml:space="preserve"> 202</w:t>
      </w:r>
      <w:r w:rsidR="00E26AD8">
        <w:rPr>
          <w:lang w:val="sr-Cyrl-BA"/>
        </w:rPr>
        <w:t>1</w:t>
      </w:r>
      <w:r w:rsidR="00E06FF7">
        <w:rPr>
          <w:lang w:val="sr-Latn-CS"/>
        </w:rPr>
        <w:t xml:space="preserve">. </w:t>
      </w:r>
      <w:r>
        <w:rPr>
          <w:lang w:val="sr-Latn-CS"/>
        </w:rPr>
        <w:t>години</w:t>
      </w:r>
      <w:r w:rsidR="00E06FF7">
        <w:rPr>
          <w:lang w:val="sr-Latn-CS"/>
        </w:rPr>
        <w:t xml:space="preserve"> </w:t>
      </w:r>
      <w:r w:rsidR="00CC0E37">
        <w:rPr>
          <w:lang w:val="sr-Cyrl-BA"/>
        </w:rPr>
        <w:t xml:space="preserve">на тринаестој ванредној сједници Скупштине акционара </w:t>
      </w:r>
      <w:r w:rsidR="00CC0E37">
        <w:rPr>
          <w:lang w:val="sr-Latn-CS"/>
        </w:rPr>
        <w:t>АД</w:t>
      </w:r>
      <w:r w:rsidR="00CC0E37" w:rsidRPr="00EB3B89">
        <w:rPr>
          <w:lang w:val="sr-Latn-CS"/>
        </w:rPr>
        <w:t xml:space="preserve"> „</w:t>
      </w:r>
      <w:r w:rsidR="00CC0E37">
        <w:rPr>
          <w:lang w:val="sr-Latn-CS"/>
        </w:rPr>
        <w:t>Комуналац</w:t>
      </w:r>
      <w:r w:rsidR="00CC0E37" w:rsidRPr="00EB3B89">
        <w:rPr>
          <w:lang w:val="sr-Latn-CS"/>
        </w:rPr>
        <w:t>“</w:t>
      </w:r>
      <w:r w:rsidR="00CC0E37">
        <w:rPr>
          <w:lang w:val="sr-Cyrl-BA"/>
        </w:rPr>
        <w:t xml:space="preserve"> Бијељина, донесена је Одлука о утврђивању </w:t>
      </w:r>
      <w:r w:rsidR="00E26AD8">
        <w:rPr>
          <w:lang w:val="sr-Cyrl-BA"/>
        </w:rPr>
        <w:t xml:space="preserve">цијена </w:t>
      </w:r>
      <w:r w:rsidR="00CC0E37">
        <w:rPr>
          <w:lang w:val="sr-Cyrl-BA"/>
        </w:rPr>
        <w:t>мјесечне закупнине пословних простора, по основу које су постојеће ц</w:t>
      </w:r>
      <w:r w:rsidR="00E26AD8">
        <w:rPr>
          <w:lang w:val="sr-Cyrl-BA"/>
        </w:rPr>
        <w:t>ијене закупа кориговане на</w:t>
      </w:r>
      <w:r w:rsidR="005D4F83">
        <w:rPr>
          <w:lang w:val="sr-Cyrl-BA"/>
        </w:rPr>
        <w:t>ниже</w:t>
      </w:r>
      <w:r w:rsidR="005D4F83">
        <w:rPr>
          <w:lang w:val="sr-Latn-BA"/>
        </w:rPr>
        <w:t xml:space="preserve">, </w:t>
      </w:r>
      <w:r w:rsidR="005D4F83">
        <w:rPr>
          <w:lang w:val="sr-Cyrl-BA"/>
        </w:rPr>
        <w:t>како би се исте ускладиле са цијенама на тржишту</w:t>
      </w:r>
      <w:r w:rsidR="00CC0E37">
        <w:rPr>
          <w:lang w:val="sr-Cyrl-BA"/>
        </w:rPr>
        <w:t xml:space="preserve">. </w:t>
      </w:r>
      <w:r w:rsidR="00BD79C1">
        <w:rPr>
          <w:lang w:val="sr-Cyrl-BA"/>
        </w:rPr>
        <w:t xml:space="preserve">У наредном периоду </w:t>
      </w:r>
      <w:r>
        <w:rPr>
          <w:lang w:val="sr-Latn-CS"/>
        </w:rPr>
        <w:t>потребно</w:t>
      </w:r>
      <w:r w:rsidR="00E06FF7">
        <w:rPr>
          <w:lang w:val="sr-Latn-CS"/>
        </w:rPr>
        <w:t xml:space="preserve"> </w:t>
      </w:r>
      <w:r>
        <w:rPr>
          <w:lang w:val="sr-Latn-CS"/>
        </w:rPr>
        <w:t>је</w:t>
      </w:r>
      <w:r w:rsidR="00E06FF7">
        <w:rPr>
          <w:lang w:val="sr-Latn-CS"/>
        </w:rPr>
        <w:t xml:space="preserve"> </w:t>
      </w:r>
      <w:r>
        <w:rPr>
          <w:lang w:val="sr-Latn-CS"/>
        </w:rPr>
        <w:t>предузети</w:t>
      </w:r>
      <w:r w:rsidR="00E06FF7">
        <w:rPr>
          <w:lang w:val="sr-Latn-CS"/>
        </w:rPr>
        <w:t xml:space="preserve"> </w:t>
      </w:r>
      <w:r w:rsidR="00BA515D">
        <w:rPr>
          <w:lang w:val="sr-Cyrl-BA"/>
        </w:rPr>
        <w:t>хитне</w:t>
      </w:r>
      <w:r w:rsidR="00E06FF7">
        <w:rPr>
          <w:lang w:val="sr-Latn-CS"/>
        </w:rPr>
        <w:t xml:space="preserve"> </w:t>
      </w:r>
      <w:r>
        <w:rPr>
          <w:lang w:val="sr-Latn-CS"/>
        </w:rPr>
        <w:t>мјере</w:t>
      </w:r>
      <w:r w:rsidR="00E06FF7">
        <w:rPr>
          <w:lang w:val="sr-Latn-CS"/>
        </w:rPr>
        <w:t xml:space="preserve"> </w:t>
      </w:r>
      <w:r>
        <w:rPr>
          <w:lang w:val="sr-Latn-CS"/>
        </w:rPr>
        <w:t>на</w:t>
      </w:r>
      <w:r w:rsidR="00E06FF7">
        <w:rPr>
          <w:lang w:val="sr-Latn-CS"/>
        </w:rPr>
        <w:t xml:space="preserve"> </w:t>
      </w:r>
      <w:r>
        <w:rPr>
          <w:lang w:val="sr-Latn-CS"/>
        </w:rPr>
        <w:t>реновирању</w:t>
      </w:r>
      <w:r w:rsidR="00E06FF7">
        <w:rPr>
          <w:lang w:val="sr-Latn-CS"/>
        </w:rPr>
        <w:t xml:space="preserve"> </w:t>
      </w:r>
      <w:r w:rsidR="003728A6">
        <w:rPr>
          <w:lang w:val="sr-Cyrl-BA"/>
        </w:rPr>
        <w:t xml:space="preserve">кровне конструкције, фасаде и водоводне и канализационе мреже </w:t>
      </w:r>
      <w:r>
        <w:rPr>
          <w:lang w:val="sr-Latn-CS"/>
        </w:rPr>
        <w:t>пословних</w:t>
      </w:r>
      <w:r w:rsidR="00E06FF7">
        <w:rPr>
          <w:lang w:val="sr-Latn-CS"/>
        </w:rPr>
        <w:t xml:space="preserve"> </w:t>
      </w:r>
      <w:r>
        <w:rPr>
          <w:lang w:val="sr-Latn-CS"/>
        </w:rPr>
        <w:t>простора</w:t>
      </w:r>
      <w:r w:rsidR="00E06FF7">
        <w:rPr>
          <w:lang w:val="sr-Latn-CS"/>
        </w:rPr>
        <w:t xml:space="preserve"> </w:t>
      </w:r>
      <w:r>
        <w:rPr>
          <w:lang w:val="sr-Latn-CS"/>
        </w:rPr>
        <w:t>који</w:t>
      </w:r>
      <w:r w:rsidR="00E06FF7">
        <w:rPr>
          <w:lang w:val="sr-Latn-CS"/>
        </w:rPr>
        <w:t xml:space="preserve"> </w:t>
      </w:r>
      <w:r>
        <w:rPr>
          <w:lang w:val="sr-Latn-CS"/>
        </w:rPr>
        <w:t>се</w:t>
      </w:r>
      <w:r w:rsidR="00E06FF7">
        <w:rPr>
          <w:lang w:val="sr-Latn-CS"/>
        </w:rPr>
        <w:t xml:space="preserve"> </w:t>
      </w:r>
      <w:r>
        <w:rPr>
          <w:lang w:val="sr-Latn-CS"/>
        </w:rPr>
        <w:t>издају</w:t>
      </w:r>
      <w:r w:rsidR="00E06FF7">
        <w:rPr>
          <w:lang w:val="sr-Latn-CS"/>
        </w:rPr>
        <w:t xml:space="preserve"> </w:t>
      </w:r>
      <w:r>
        <w:rPr>
          <w:lang w:val="sr-Latn-CS"/>
        </w:rPr>
        <w:t>под</w:t>
      </w:r>
      <w:r w:rsidR="00E06FF7">
        <w:rPr>
          <w:lang w:val="sr-Latn-CS"/>
        </w:rPr>
        <w:t xml:space="preserve"> </w:t>
      </w:r>
      <w:r>
        <w:rPr>
          <w:lang w:val="sr-Latn-CS"/>
        </w:rPr>
        <w:t>закуп</w:t>
      </w:r>
      <w:r w:rsidR="00E06FF7">
        <w:rPr>
          <w:lang w:val="sr-Latn-CS"/>
        </w:rPr>
        <w:t xml:space="preserve">, </w:t>
      </w:r>
      <w:r>
        <w:rPr>
          <w:lang w:val="sr-Latn-CS"/>
        </w:rPr>
        <w:t>како</w:t>
      </w:r>
      <w:r w:rsidR="00E06FF7">
        <w:rPr>
          <w:lang w:val="sr-Latn-CS"/>
        </w:rPr>
        <w:t xml:space="preserve"> </w:t>
      </w:r>
      <w:r>
        <w:rPr>
          <w:lang w:val="sr-Latn-CS"/>
        </w:rPr>
        <w:t>би</w:t>
      </w:r>
      <w:r w:rsidR="00E06FF7">
        <w:rPr>
          <w:lang w:val="sr-Latn-CS"/>
        </w:rPr>
        <w:t xml:space="preserve"> </w:t>
      </w:r>
      <w:r>
        <w:rPr>
          <w:lang w:val="sr-Latn-CS"/>
        </w:rPr>
        <w:t>се</w:t>
      </w:r>
      <w:r w:rsidR="00E06FF7">
        <w:rPr>
          <w:lang w:val="sr-Latn-CS"/>
        </w:rPr>
        <w:t xml:space="preserve"> </w:t>
      </w:r>
      <w:r>
        <w:rPr>
          <w:lang w:val="sr-Latn-CS"/>
        </w:rPr>
        <w:t>задржали</w:t>
      </w:r>
      <w:r w:rsidR="00E06FF7">
        <w:rPr>
          <w:lang w:val="sr-Latn-CS"/>
        </w:rPr>
        <w:t xml:space="preserve"> </w:t>
      </w:r>
      <w:r>
        <w:rPr>
          <w:lang w:val="sr-Latn-CS"/>
        </w:rPr>
        <w:t>постојећи</w:t>
      </w:r>
      <w:r w:rsidR="00E06FF7">
        <w:rPr>
          <w:lang w:val="sr-Latn-CS"/>
        </w:rPr>
        <w:t xml:space="preserve"> </w:t>
      </w:r>
      <w:r>
        <w:rPr>
          <w:lang w:val="sr-Latn-CS"/>
        </w:rPr>
        <w:t>и</w:t>
      </w:r>
      <w:r w:rsidR="00E06FF7">
        <w:rPr>
          <w:lang w:val="sr-Latn-CS"/>
        </w:rPr>
        <w:t xml:space="preserve"> </w:t>
      </w:r>
      <w:r>
        <w:rPr>
          <w:lang w:val="sr-Latn-CS"/>
        </w:rPr>
        <w:t>привукли</w:t>
      </w:r>
      <w:r w:rsidR="00E06FF7">
        <w:rPr>
          <w:lang w:val="sr-Latn-CS"/>
        </w:rPr>
        <w:t xml:space="preserve"> </w:t>
      </w:r>
      <w:r>
        <w:rPr>
          <w:lang w:val="sr-Latn-CS"/>
        </w:rPr>
        <w:t>нови</w:t>
      </w:r>
      <w:r w:rsidR="00E06FF7">
        <w:rPr>
          <w:lang w:val="sr-Latn-CS"/>
        </w:rPr>
        <w:t xml:space="preserve"> </w:t>
      </w:r>
      <w:r>
        <w:rPr>
          <w:lang w:val="sr-Latn-CS"/>
        </w:rPr>
        <w:t>закупци</w:t>
      </w:r>
      <w:r w:rsidR="00E06FF7">
        <w:rPr>
          <w:lang w:val="sr-Latn-CS"/>
        </w:rPr>
        <w:t>.</w:t>
      </w:r>
      <w:r w:rsidR="00BA515D">
        <w:rPr>
          <w:lang w:val="sr-Cyrl-BA"/>
        </w:rPr>
        <w:t xml:space="preserve"> Потребно је извршити и ревизију постојећих цијена закупа, како би се </w:t>
      </w:r>
      <w:r w:rsidR="003728A6">
        <w:rPr>
          <w:lang w:val="sr-Cyrl-BA"/>
        </w:rPr>
        <w:t>цијене ускладиле са тржишним цијенама и омогућила боља цјеновна конкурентност на тржишту.</w:t>
      </w:r>
    </w:p>
    <w:p w:rsidR="00EF2CB9" w:rsidRDefault="009129D1" w:rsidP="00AA03C8">
      <w:pPr>
        <w:ind w:firstLine="720"/>
        <w:jc w:val="both"/>
        <w:rPr>
          <w:lang w:val="sr-Cyrl-BA"/>
        </w:rPr>
      </w:pPr>
      <w:r>
        <w:rPr>
          <w:lang w:val="sr-Latn-CS"/>
        </w:rPr>
        <w:t>Приходи</w:t>
      </w:r>
      <w:r w:rsidR="00FF66D7">
        <w:rPr>
          <w:lang w:val="sr-Latn-CS"/>
        </w:rPr>
        <w:t xml:space="preserve"> </w:t>
      </w:r>
      <w:r>
        <w:rPr>
          <w:lang w:val="sr-Latn-CS"/>
        </w:rPr>
        <w:t>од</w:t>
      </w:r>
      <w:r w:rsidR="00FF66D7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FF66D7">
        <w:rPr>
          <w:lang w:val="sr-Latn-CS"/>
        </w:rPr>
        <w:t xml:space="preserve"> </w:t>
      </w:r>
      <w:r>
        <w:rPr>
          <w:lang w:val="sr-Latn-CS"/>
        </w:rPr>
        <w:t>закупа</w:t>
      </w:r>
      <w:r w:rsidR="00FF66D7">
        <w:rPr>
          <w:lang w:val="sr-Latn-CS"/>
        </w:rPr>
        <w:t xml:space="preserve"> </w:t>
      </w:r>
      <w:r>
        <w:rPr>
          <w:lang w:val="sr-Latn-CS"/>
        </w:rPr>
        <w:t>пијачних</w:t>
      </w:r>
      <w:r w:rsidR="00FF66D7">
        <w:rPr>
          <w:lang w:val="sr-Latn-CS"/>
        </w:rPr>
        <w:t xml:space="preserve"> </w:t>
      </w:r>
      <w:r>
        <w:rPr>
          <w:lang w:val="sr-Latn-CS"/>
        </w:rPr>
        <w:t>столова</w:t>
      </w:r>
      <w:r w:rsidR="008C01F7">
        <w:rPr>
          <w:lang w:val="sr-Latn-CS"/>
        </w:rPr>
        <w:t>,</w:t>
      </w:r>
      <w:r w:rsidR="00FF66D7">
        <w:rPr>
          <w:lang w:val="sr-Latn-CS"/>
        </w:rPr>
        <w:t xml:space="preserve"> </w:t>
      </w:r>
      <w:r>
        <w:rPr>
          <w:lang w:val="sr-Latn-CS"/>
        </w:rPr>
        <w:t>планирани</w:t>
      </w:r>
      <w:r w:rsidR="00E06FF7">
        <w:rPr>
          <w:lang w:val="sr-Latn-CS"/>
        </w:rPr>
        <w:t xml:space="preserve"> </w:t>
      </w:r>
      <w:r>
        <w:rPr>
          <w:lang w:val="sr-Latn-CS"/>
        </w:rPr>
        <w:t>су</w:t>
      </w:r>
      <w:r w:rsidR="00E06FF7">
        <w:rPr>
          <w:lang w:val="sr-Latn-CS"/>
        </w:rPr>
        <w:t xml:space="preserve"> </w:t>
      </w:r>
      <w:r>
        <w:rPr>
          <w:lang w:val="sr-Latn-CS"/>
        </w:rPr>
        <w:t>у</w:t>
      </w:r>
      <w:r w:rsidR="00E06FF7">
        <w:rPr>
          <w:lang w:val="sr-Latn-CS"/>
        </w:rPr>
        <w:t xml:space="preserve"> </w:t>
      </w:r>
      <w:r>
        <w:rPr>
          <w:lang w:val="sr-Latn-CS"/>
        </w:rPr>
        <w:t>износу</w:t>
      </w:r>
      <w:r w:rsidR="00E06FF7">
        <w:rPr>
          <w:lang w:val="sr-Latn-CS"/>
        </w:rPr>
        <w:t xml:space="preserve"> </w:t>
      </w:r>
      <w:r>
        <w:rPr>
          <w:lang w:val="sr-Latn-CS"/>
        </w:rPr>
        <w:t>од</w:t>
      </w:r>
      <w:r w:rsidR="003728A6">
        <w:rPr>
          <w:lang w:val="sr-Latn-CS"/>
        </w:rPr>
        <w:t xml:space="preserve"> </w:t>
      </w:r>
      <w:r w:rsidR="00743D63">
        <w:rPr>
          <w:lang w:val="sr-Cyrl-BA"/>
        </w:rPr>
        <w:t>332.5</w:t>
      </w:r>
      <w:r w:rsidR="004F36F3">
        <w:rPr>
          <w:lang w:val="sr-Latn-CS"/>
        </w:rPr>
        <w:t>00</w:t>
      </w:r>
      <w:r w:rsidR="008C01F7">
        <w:rPr>
          <w:lang w:val="sr-Latn-CS"/>
        </w:rPr>
        <w:t>,00</w:t>
      </w:r>
      <w:r w:rsidR="00FF66D7">
        <w:rPr>
          <w:lang w:val="sr-Latn-CS"/>
        </w:rPr>
        <w:t xml:space="preserve"> </w:t>
      </w:r>
      <w:r>
        <w:rPr>
          <w:lang w:val="sr-Latn-CS"/>
        </w:rPr>
        <w:t>КМ</w:t>
      </w:r>
      <w:r w:rsidR="00FF66D7">
        <w:rPr>
          <w:lang w:val="sr-Latn-CS"/>
        </w:rPr>
        <w:t xml:space="preserve">. </w:t>
      </w:r>
      <w:r>
        <w:rPr>
          <w:lang w:val="sr-Latn-CS"/>
        </w:rPr>
        <w:t>Учешће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планираних</w:t>
      </w:r>
      <w:r w:rsidR="00350D3E" w:rsidRPr="00EB3B89">
        <w:rPr>
          <w:lang w:val="sr-Latn-CS"/>
        </w:rPr>
        <w:t xml:space="preserve"> </w:t>
      </w:r>
      <w:r>
        <w:rPr>
          <w:lang w:val="sr-Latn-CS"/>
        </w:rPr>
        <w:t>прихода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8C01F7">
        <w:rPr>
          <w:lang w:val="sr-Latn-CS"/>
        </w:rPr>
        <w:t xml:space="preserve"> </w:t>
      </w:r>
      <w:r>
        <w:rPr>
          <w:lang w:val="sr-Latn-CS"/>
        </w:rPr>
        <w:t>услуга</w:t>
      </w:r>
      <w:r w:rsidR="008C01F7">
        <w:rPr>
          <w:lang w:val="sr-Latn-CS"/>
        </w:rPr>
        <w:t xml:space="preserve"> </w:t>
      </w:r>
      <w:r>
        <w:rPr>
          <w:lang w:val="sr-Latn-CS"/>
        </w:rPr>
        <w:t>закупа</w:t>
      </w:r>
      <w:r w:rsidR="008C01F7">
        <w:rPr>
          <w:lang w:val="sr-Latn-CS"/>
        </w:rPr>
        <w:t xml:space="preserve"> </w:t>
      </w:r>
      <w:r>
        <w:rPr>
          <w:lang w:val="sr-Latn-CS"/>
        </w:rPr>
        <w:t>пијачних</w:t>
      </w:r>
      <w:r w:rsidR="008C01F7">
        <w:rPr>
          <w:lang w:val="sr-Latn-CS"/>
        </w:rPr>
        <w:t xml:space="preserve"> </w:t>
      </w:r>
      <w:r>
        <w:rPr>
          <w:lang w:val="sr-Latn-CS"/>
        </w:rPr>
        <w:t>столова</w:t>
      </w:r>
      <w:r w:rsidR="008C01F7">
        <w:rPr>
          <w:lang w:val="sr-Latn-CS"/>
        </w:rPr>
        <w:t xml:space="preserve"> </w:t>
      </w:r>
      <w:r>
        <w:rPr>
          <w:lang w:val="sr-Latn-CS"/>
        </w:rPr>
        <w:t>у</w:t>
      </w:r>
      <w:r w:rsidR="008C01F7">
        <w:rPr>
          <w:lang w:val="sr-Latn-CS"/>
        </w:rPr>
        <w:t xml:space="preserve"> </w:t>
      </w:r>
      <w:r w:rsidR="00E26AD8">
        <w:rPr>
          <w:lang w:val="sr-Latn-CS"/>
        </w:rPr>
        <w:t>укупн</w:t>
      </w:r>
      <w:r w:rsidR="00E26AD8">
        <w:rPr>
          <w:lang w:val="sr-Cyrl-BA"/>
        </w:rPr>
        <w:t>о</w:t>
      </w:r>
      <w:r w:rsidR="008C01F7">
        <w:rPr>
          <w:lang w:val="sr-Latn-CS"/>
        </w:rPr>
        <w:t xml:space="preserve"> </w:t>
      </w:r>
      <w:r>
        <w:rPr>
          <w:lang w:val="sr-Latn-CS"/>
        </w:rPr>
        <w:t>планираним</w:t>
      </w:r>
      <w:r w:rsidR="00B036DA" w:rsidRPr="00EB3B89">
        <w:rPr>
          <w:lang w:val="sr-Latn-CS"/>
        </w:rPr>
        <w:t xml:space="preserve"> </w:t>
      </w:r>
      <w:r>
        <w:rPr>
          <w:lang w:val="sr-Latn-CS"/>
        </w:rPr>
        <w:t>приходима</w:t>
      </w:r>
      <w:r w:rsidR="006C6DE4" w:rsidRPr="00EB3B89">
        <w:rPr>
          <w:lang w:val="sr-Latn-CS"/>
        </w:rPr>
        <w:t xml:space="preserve"> </w:t>
      </w:r>
      <w:r>
        <w:rPr>
          <w:lang w:val="sr-Latn-CS"/>
        </w:rPr>
        <w:t>је</w:t>
      </w:r>
      <w:r w:rsidR="006C6DE4" w:rsidRPr="00EB3B89">
        <w:rPr>
          <w:lang w:val="sr-Latn-CS"/>
        </w:rPr>
        <w:t xml:space="preserve"> </w:t>
      </w:r>
      <w:r w:rsidR="00743D63">
        <w:rPr>
          <w:lang w:val="sr-Cyrl-BA"/>
        </w:rPr>
        <w:t>4,35</w:t>
      </w:r>
      <w:r w:rsidR="00B036DA" w:rsidRPr="00EB3B89">
        <w:rPr>
          <w:lang w:val="sr-Latn-CS"/>
        </w:rPr>
        <w:t>%</w:t>
      </w:r>
      <w:r w:rsidR="00FF66D7">
        <w:rPr>
          <w:lang w:val="sr-Latn-CS"/>
        </w:rPr>
        <w:t>.</w:t>
      </w:r>
      <w:r w:rsidR="004C3623" w:rsidRPr="00EB3B89">
        <w:rPr>
          <w:lang w:val="sr-Latn-CS"/>
        </w:rPr>
        <w:t xml:space="preserve"> </w:t>
      </w:r>
      <w:r>
        <w:rPr>
          <w:lang w:val="sr-Latn-CS"/>
        </w:rPr>
        <w:t>Није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планирано</w:t>
      </w:r>
      <w:r w:rsidR="00404940">
        <w:rPr>
          <w:lang w:val="sr-Latn-CS"/>
        </w:rPr>
        <w:t xml:space="preserve"> </w:t>
      </w:r>
      <w:r>
        <w:rPr>
          <w:lang w:val="sr-Latn-CS"/>
        </w:rPr>
        <w:t>значајно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повећање</w:t>
      </w:r>
      <w:r w:rsidR="00CD3E5C">
        <w:rPr>
          <w:lang w:val="sr-Latn-CS"/>
        </w:rPr>
        <w:t xml:space="preserve"> </w:t>
      </w:r>
      <w:r>
        <w:rPr>
          <w:lang w:val="sr-Latn-CS"/>
        </w:rPr>
        <w:t>прихода</w:t>
      </w:r>
      <w:r w:rsidR="00CD3E5C">
        <w:rPr>
          <w:lang w:val="sr-Latn-CS"/>
        </w:rPr>
        <w:t xml:space="preserve"> </w:t>
      </w:r>
      <w:r>
        <w:rPr>
          <w:lang w:val="sr-Latn-CS"/>
        </w:rPr>
        <w:t>у</w:t>
      </w:r>
      <w:r w:rsidR="00CD3E5C">
        <w:rPr>
          <w:lang w:val="sr-Latn-CS"/>
        </w:rPr>
        <w:t xml:space="preserve"> </w:t>
      </w:r>
      <w:r w:rsidR="00BD79C1">
        <w:rPr>
          <w:lang w:val="sr-Cyrl-BA"/>
        </w:rPr>
        <w:t xml:space="preserve">текућој години у </w:t>
      </w:r>
      <w:r>
        <w:rPr>
          <w:lang w:val="sr-Latn-CS"/>
        </w:rPr>
        <w:t>односу</w:t>
      </w:r>
      <w:r w:rsidR="00CD3E5C">
        <w:rPr>
          <w:lang w:val="sr-Latn-CS"/>
        </w:rPr>
        <w:t xml:space="preserve"> </w:t>
      </w:r>
      <w:r>
        <w:rPr>
          <w:lang w:val="sr-Latn-CS"/>
        </w:rPr>
        <w:t>на</w:t>
      </w:r>
      <w:r w:rsidR="00CD3E5C">
        <w:rPr>
          <w:lang w:val="sr-Latn-CS"/>
        </w:rPr>
        <w:t xml:space="preserve"> </w:t>
      </w:r>
      <w:r>
        <w:rPr>
          <w:lang w:val="sr-Latn-CS"/>
        </w:rPr>
        <w:t>ранији</w:t>
      </w:r>
      <w:r w:rsidR="00CD3E5C">
        <w:rPr>
          <w:lang w:val="sr-Latn-CS"/>
        </w:rPr>
        <w:t xml:space="preserve"> </w:t>
      </w:r>
      <w:r>
        <w:rPr>
          <w:lang w:val="sr-Latn-CS"/>
        </w:rPr>
        <w:t>период</w:t>
      </w:r>
      <w:r w:rsidR="004C6BAE" w:rsidRPr="00EB3B89">
        <w:rPr>
          <w:lang w:val="sr-Latn-CS"/>
        </w:rPr>
        <w:t xml:space="preserve">, </w:t>
      </w:r>
      <w:r>
        <w:rPr>
          <w:lang w:val="sr-Latn-CS"/>
        </w:rPr>
        <w:t>а</w:t>
      </w:r>
      <w:r w:rsidR="000361DF" w:rsidRPr="00EB3B89">
        <w:rPr>
          <w:lang w:val="sr-Latn-CS"/>
        </w:rPr>
        <w:t xml:space="preserve"> </w:t>
      </w:r>
      <w:r>
        <w:rPr>
          <w:lang w:val="sr-Latn-CS"/>
        </w:rPr>
        <w:t>процјена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је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вршена</w:t>
      </w:r>
      <w:r w:rsidR="004C6BAE" w:rsidRPr="00EB3B89">
        <w:rPr>
          <w:lang w:val="sr-Latn-CS"/>
        </w:rPr>
        <w:t xml:space="preserve"> </w:t>
      </w:r>
      <w:r>
        <w:rPr>
          <w:lang w:val="sr-Latn-CS"/>
        </w:rPr>
        <w:t>на</w:t>
      </w:r>
      <w:r w:rsidR="00483FFB">
        <w:rPr>
          <w:lang w:val="sr-Latn-CS"/>
        </w:rPr>
        <w:t xml:space="preserve"> </w:t>
      </w:r>
      <w:r>
        <w:rPr>
          <w:lang w:val="sr-Latn-CS"/>
        </w:rPr>
        <w:t>бази</w:t>
      </w:r>
      <w:r w:rsidR="00483FFB">
        <w:rPr>
          <w:lang w:val="sr-Latn-CS"/>
        </w:rPr>
        <w:t xml:space="preserve"> </w:t>
      </w:r>
      <w:r>
        <w:rPr>
          <w:lang w:val="sr-Latn-CS"/>
        </w:rPr>
        <w:t>процјене</w:t>
      </w:r>
      <w:r w:rsidR="00A130F7">
        <w:rPr>
          <w:lang w:val="sr-Latn-CS"/>
        </w:rPr>
        <w:t xml:space="preserve"> </w:t>
      </w:r>
      <w:r>
        <w:rPr>
          <w:lang w:val="sr-Latn-CS"/>
        </w:rPr>
        <w:t>остварења</w:t>
      </w:r>
      <w:r w:rsidR="004C7FBE">
        <w:rPr>
          <w:lang w:val="sr-Latn-CS"/>
        </w:rPr>
        <w:t xml:space="preserve"> </w:t>
      </w:r>
      <w:r>
        <w:rPr>
          <w:lang w:val="sr-Latn-CS"/>
        </w:rPr>
        <w:t>за</w:t>
      </w:r>
      <w:r w:rsidR="004C7FBE">
        <w:rPr>
          <w:lang w:val="sr-Latn-CS"/>
        </w:rPr>
        <w:t xml:space="preserve"> </w:t>
      </w:r>
      <w:r w:rsidR="00BD79C1">
        <w:rPr>
          <w:lang w:val="sr-Latn-CS"/>
        </w:rPr>
        <w:t>202</w:t>
      </w:r>
      <w:r w:rsidR="00743D63">
        <w:rPr>
          <w:lang w:val="sr-Cyrl-BA"/>
        </w:rPr>
        <w:t>4</w:t>
      </w:r>
      <w:r w:rsidR="003728A6">
        <w:rPr>
          <w:lang w:val="sr-Cyrl-BA"/>
        </w:rPr>
        <w:t>.</w:t>
      </w:r>
      <w:r w:rsidR="004C7FBE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E06FF7">
        <w:rPr>
          <w:lang w:val="sr-Latn-CS"/>
        </w:rPr>
        <w:t>.</w:t>
      </w:r>
    </w:p>
    <w:p w:rsidR="00E26AD8" w:rsidRPr="00265A4A" w:rsidRDefault="00E26AD8" w:rsidP="00AA03C8">
      <w:pPr>
        <w:ind w:firstLine="720"/>
        <w:jc w:val="both"/>
        <w:rPr>
          <w:sz w:val="16"/>
          <w:szCs w:val="16"/>
          <w:lang w:val="sr-Cyrl-BA"/>
        </w:rPr>
      </w:pPr>
    </w:p>
    <w:p w:rsidR="00E26AD8" w:rsidRDefault="00E26AD8" w:rsidP="00E26AD8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t>6</w:t>
      </w:r>
      <w:r>
        <w:rPr>
          <w:b/>
          <w:lang/>
        </w:rPr>
        <w:t>5</w:t>
      </w:r>
      <w:r w:rsidR="00084095">
        <w:rPr>
          <w:b/>
          <w:lang w:val="sr-Cyrl-BA"/>
        </w:rPr>
        <w:t>5</w:t>
      </w:r>
      <w:r w:rsidRPr="00E26AD8">
        <w:rPr>
          <w:b/>
          <w:lang w:val="sr-Cyrl-BA"/>
        </w:rPr>
        <w:t xml:space="preserve"> – Приходи </w:t>
      </w:r>
      <w:r>
        <w:rPr>
          <w:b/>
          <w:lang w:val="sr-Cyrl-BA"/>
        </w:rPr>
        <w:t>из намјенских извора финансирања</w:t>
      </w:r>
      <w:r w:rsidR="00743D63">
        <w:rPr>
          <w:b/>
          <w:lang w:val="sr-Cyrl-BA"/>
        </w:rPr>
        <w:t xml:space="preserve"> – 0,90</w:t>
      </w:r>
      <w:r w:rsidR="00B72AC0">
        <w:rPr>
          <w:b/>
          <w:lang w:val="sr-Cyrl-BA"/>
        </w:rPr>
        <w:t>%</w:t>
      </w:r>
    </w:p>
    <w:p w:rsidR="00084095" w:rsidRPr="00FE6720" w:rsidRDefault="00084095" w:rsidP="00E26AD8">
      <w:pPr>
        <w:ind w:firstLine="720"/>
        <w:jc w:val="both"/>
        <w:rPr>
          <w:b/>
          <w:sz w:val="8"/>
          <w:szCs w:val="8"/>
          <w:lang w:val="sr-Cyrl-BA"/>
        </w:rPr>
      </w:pPr>
    </w:p>
    <w:p w:rsidR="00B61B99" w:rsidRDefault="00084095" w:rsidP="00E26AD8">
      <w:pPr>
        <w:ind w:firstLine="720"/>
        <w:jc w:val="both"/>
        <w:rPr>
          <w:lang w:val="sr-Cyrl-BA"/>
        </w:rPr>
      </w:pPr>
      <w:r>
        <w:rPr>
          <w:lang w:val="sr-Cyrl-BA"/>
        </w:rPr>
        <w:t>Приходи из намјенских извора финансирања пла</w:t>
      </w:r>
      <w:r w:rsidR="00B03080">
        <w:rPr>
          <w:lang w:val="sr-Cyrl-BA"/>
        </w:rPr>
        <w:t xml:space="preserve">нирани </w:t>
      </w:r>
      <w:r w:rsidR="00743D63">
        <w:rPr>
          <w:lang w:val="sr-Cyrl-BA"/>
        </w:rPr>
        <w:t>су у укупном износу од 69.2</w:t>
      </w:r>
      <w:r>
        <w:rPr>
          <w:lang w:val="sr-Cyrl-BA"/>
        </w:rPr>
        <w:t>00,00 КМ са процентуалним уче</w:t>
      </w:r>
      <w:r w:rsidR="00743D63">
        <w:rPr>
          <w:lang w:val="sr-Cyrl-BA"/>
        </w:rPr>
        <w:t>шћем у укупним приходима од 0,90</w:t>
      </w:r>
      <w:r>
        <w:rPr>
          <w:lang w:val="sr-Cyrl-BA"/>
        </w:rPr>
        <w:t xml:space="preserve">%. Наведене </w:t>
      </w:r>
      <w:r w:rsidR="00FF6A89">
        <w:rPr>
          <w:lang w:val="sr-Cyrl-BA"/>
        </w:rPr>
        <w:t>приходе је немогуће прецизно планирати јер су то приходи који се одтварују по основу рефундациј</w:t>
      </w:r>
      <w:r w:rsidR="00B61B99">
        <w:rPr>
          <w:lang w:val="sr-Cyrl-BA"/>
        </w:rPr>
        <w:t>е</w:t>
      </w:r>
      <w:r w:rsidR="00FF6A89">
        <w:rPr>
          <w:lang w:val="sr-Cyrl-BA"/>
        </w:rPr>
        <w:t xml:space="preserve"> накнада за боловање</w:t>
      </w:r>
      <w:r w:rsidR="00B61B99">
        <w:rPr>
          <w:lang w:val="sr-Cyrl-BA"/>
        </w:rPr>
        <w:t xml:space="preserve"> и</w:t>
      </w:r>
      <w:r w:rsidR="00FF6A89">
        <w:rPr>
          <w:lang w:val="sr-Cyrl-BA"/>
        </w:rPr>
        <w:t xml:space="preserve"> породиљско </w:t>
      </w:r>
      <w:r w:rsidR="00B61B99">
        <w:rPr>
          <w:lang w:val="sr-Cyrl-BA"/>
        </w:rPr>
        <w:t>боловање и рефундације накнада за приправнике.</w:t>
      </w:r>
    </w:p>
    <w:p w:rsidR="00084095" w:rsidRPr="00265A4A" w:rsidRDefault="00B61B99" w:rsidP="00E26AD8">
      <w:pPr>
        <w:ind w:firstLine="720"/>
        <w:jc w:val="both"/>
        <w:rPr>
          <w:b/>
          <w:sz w:val="16"/>
          <w:szCs w:val="16"/>
          <w:lang w:val="sr-Cyrl-BA"/>
        </w:rPr>
      </w:pPr>
      <w:r w:rsidRPr="00265A4A">
        <w:rPr>
          <w:sz w:val="16"/>
          <w:szCs w:val="16"/>
          <w:lang w:val="sr-Cyrl-BA"/>
        </w:rPr>
        <w:t xml:space="preserve"> </w:t>
      </w:r>
    </w:p>
    <w:p w:rsidR="00B61B99" w:rsidRDefault="004C6BAE" w:rsidP="00B61B99">
      <w:pPr>
        <w:ind w:firstLine="720"/>
        <w:jc w:val="both"/>
        <w:rPr>
          <w:lang w:val="sr-Cyrl-BA"/>
        </w:rPr>
      </w:pPr>
      <w:r w:rsidRPr="00EB3B89">
        <w:rPr>
          <w:lang w:val="sr-Latn-CS"/>
        </w:rPr>
        <w:t xml:space="preserve"> </w:t>
      </w:r>
      <w:r w:rsidR="00B61B99">
        <w:rPr>
          <w:b/>
          <w:lang w:val="sr-Cyrl-BA"/>
        </w:rPr>
        <w:t>661</w:t>
      </w:r>
      <w:r w:rsidR="00B61B99" w:rsidRPr="00E26AD8">
        <w:rPr>
          <w:b/>
          <w:lang w:val="sr-Cyrl-BA"/>
        </w:rPr>
        <w:t xml:space="preserve"> – </w:t>
      </w:r>
      <w:r w:rsidR="00B61B99">
        <w:rPr>
          <w:b/>
          <w:lang w:val="sr-Cyrl-BA"/>
        </w:rPr>
        <w:t>Приходи од камата</w:t>
      </w:r>
      <w:r w:rsidR="00743D63">
        <w:rPr>
          <w:b/>
          <w:lang w:val="sr-Cyrl-BA"/>
        </w:rPr>
        <w:t xml:space="preserve"> од неповезаних лица – 0,72</w:t>
      </w:r>
      <w:r w:rsidR="00B72AC0">
        <w:rPr>
          <w:b/>
          <w:lang w:val="sr-Cyrl-BA"/>
        </w:rPr>
        <w:t>%</w:t>
      </w:r>
    </w:p>
    <w:p w:rsidR="00E26AD8" w:rsidRPr="00FE6720" w:rsidRDefault="00E26AD8" w:rsidP="00B036DA">
      <w:pPr>
        <w:jc w:val="both"/>
        <w:rPr>
          <w:sz w:val="8"/>
          <w:szCs w:val="8"/>
          <w:lang w:val="sr-Cyrl-BA"/>
        </w:rPr>
      </w:pPr>
    </w:p>
    <w:p w:rsidR="00B61B99" w:rsidRDefault="00B61B99" w:rsidP="00B036DA">
      <w:pPr>
        <w:jc w:val="both"/>
        <w:rPr>
          <w:lang w:val="sr-Cyrl-BA"/>
        </w:rPr>
      </w:pPr>
      <w:r>
        <w:rPr>
          <w:lang w:val="sr-Cyrl-BA"/>
        </w:rPr>
        <w:tab/>
        <w:t>У оквиру прихода од камата, који су</w:t>
      </w:r>
      <w:r w:rsidR="00B03080">
        <w:rPr>
          <w:lang w:val="sr-Cyrl-BA"/>
        </w:rPr>
        <w:t xml:space="preserve"> пл</w:t>
      </w:r>
      <w:r w:rsidR="00743D63">
        <w:rPr>
          <w:lang w:val="sr-Cyrl-BA"/>
        </w:rPr>
        <w:t>анирани у укупном износу од 55.0</w:t>
      </w:r>
      <w:r w:rsidR="00B03080">
        <w:rPr>
          <w:lang w:val="sr-Cyrl-BA"/>
        </w:rPr>
        <w:t>00</w:t>
      </w:r>
      <w:r>
        <w:rPr>
          <w:lang w:val="sr-Cyrl-BA"/>
        </w:rPr>
        <w:t xml:space="preserve">,00 КМ, </w:t>
      </w:r>
      <w:r w:rsidR="00743D63">
        <w:rPr>
          <w:lang w:val="sr-Cyrl-BA"/>
        </w:rPr>
        <w:t>са процентуалним учешћем од 0,72</w:t>
      </w:r>
      <w:r>
        <w:rPr>
          <w:lang w:val="sr-Cyrl-BA"/>
        </w:rPr>
        <w:t xml:space="preserve">% у укупним приходима, планирани су приходи од затезних камата за правна лица у износу од </w:t>
      </w:r>
      <w:r w:rsidR="00743D63">
        <w:rPr>
          <w:lang w:val="sr-Cyrl-BA"/>
        </w:rPr>
        <w:t>9.0</w:t>
      </w:r>
      <w:r w:rsidR="00263DD1">
        <w:rPr>
          <w:lang w:val="sr-Cyrl-BA"/>
        </w:rPr>
        <w:t>00,00 КМ, приходи од затезних камата за физичка ли</w:t>
      </w:r>
      <w:r w:rsidR="00743D63">
        <w:rPr>
          <w:lang w:val="sr-Cyrl-BA"/>
        </w:rPr>
        <w:t>ца у износу од 40</w:t>
      </w:r>
      <w:r w:rsidR="00263DD1">
        <w:rPr>
          <w:lang w:val="sr-Cyrl-BA"/>
        </w:rPr>
        <w:t>.000,00 КМ и приходи</w:t>
      </w:r>
      <w:r w:rsidR="00743D63">
        <w:rPr>
          <w:lang w:val="sr-Cyrl-BA"/>
        </w:rPr>
        <w:t xml:space="preserve"> од осталих камата у износу од 6</w:t>
      </w:r>
      <w:r w:rsidR="00263DD1">
        <w:rPr>
          <w:lang w:val="sr-Cyrl-BA"/>
        </w:rPr>
        <w:t>.000,00 КМ. Сви наведени приходи планирани су на о</w:t>
      </w:r>
      <w:r w:rsidR="00743D63">
        <w:rPr>
          <w:lang w:val="sr-Cyrl-BA"/>
        </w:rPr>
        <w:t>снову процјене остварења за 2024</w:t>
      </w:r>
      <w:r w:rsidR="00263DD1">
        <w:rPr>
          <w:lang w:val="sr-Cyrl-BA"/>
        </w:rPr>
        <w:t>. годину.</w:t>
      </w:r>
    </w:p>
    <w:p w:rsidR="00A40B4E" w:rsidRDefault="00A40B4E" w:rsidP="00B036DA">
      <w:pPr>
        <w:jc w:val="both"/>
        <w:rPr>
          <w:lang w:val="sr-Cyrl-BA"/>
        </w:rPr>
      </w:pPr>
    </w:p>
    <w:p w:rsidR="00A40B4E" w:rsidRDefault="00A40B4E" w:rsidP="00B036DA">
      <w:pPr>
        <w:jc w:val="both"/>
        <w:rPr>
          <w:lang w:val="sr-Cyrl-BA"/>
        </w:rPr>
      </w:pPr>
    </w:p>
    <w:p w:rsidR="00A40B4E" w:rsidRDefault="00A40B4E" w:rsidP="00B036DA">
      <w:pPr>
        <w:jc w:val="both"/>
        <w:rPr>
          <w:lang w:val="sr-Cyrl-BA"/>
        </w:rPr>
      </w:pPr>
    </w:p>
    <w:p w:rsidR="00A40B4E" w:rsidRDefault="00A40B4E" w:rsidP="00B036DA">
      <w:pPr>
        <w:jc w:val="both"/>
        <w:rPr>
          <w:lang w:val="sr-Cyrl-BA"/>
        </w:rPr>
      </w:pPr>
    </w:p>
    <w:p w:rsidR="00A40B4E" w:rsidRDefault="00A40B4E" w:rsidP="00B036DA">
      <w:pPr>
        <w:jc w:val="both"/>
        <w:rPr>
          <w:lang w:val="sr-Cyrl-BA"/>
        </w:rPr>
      </w:pPr>
    </w:p>
    <w:p w:rsidR="00683021" w:rsidRPr="00265A4A" w:rsidRDefault="00683021" w:rsidP="00B036DA">
      <w:pPr>
        <w:jc w:val="both"/>
        <w:rPr>
          <w:sz w:val="16"/>
          <w:szCs w:val="16"/>
          <w:lang w:val="sr-Cyrl-BA"/>
        </w:rPr>
      </w:pPr>
    </w:p>
    <w:p w:rsidR="00A40B4E" w:rsidRDefault="00683021" w:rsidP="008D0617">
      <w:pPr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ab/>
      </w:r>
      <w:r w:rsidR="008D0617">
        <w:rPr>
          <w:b/>
          <w:lang w:val="sr-Cyrl-BA"/>
        </w:rPr>
        <w:t>687</w:t>
      </w:r>
      <w:r w:rsidR="008D0617" w:rsidRPr="00E26AD8">
        <w:rPr>
          <w:b/>
          <w:lang w:val="sr-Cyrl-BA"/>
        </w:rPr>
        <w:t xml:space="preserve"> – </w:t>
      </w:r>
      <w:r w:rsidR="00743D63">
        <w:rPr>
          <w:b/>
          <w:lang w:val="sr-Cyrl-BA"/>
        </w:rPr>
        <w:t xml:space="preserve">Добици од умањења раније признатих </w:t>
      </w:r>
      <w:r w:rsidR="00A40B4E">
        <w:rPr>
          <w:b/>
          <w:lang w:val="sr-Cyrl-BA"/>
        </w:rPr>
        <w:t xml:space="preserve">кредитних губитака услијед </w:t>
      </w:r>
    </w:p>
    <w:p w:rsidR="008D0617" w:rsidRDefault="00A40B4E" w:rsidP="008D0617">
      <w:pPr>
        <w:jc w:val="both"/>
        <w:rPr>
          <w:lang w:val="sr-Cyrl-BA"/>
        </w:rPr>
      </w:pPr>
      <w:r>
        <w:rPr>
          <w:b/>
          <w:lang w:val="sr-Cyrl-BA"/>
        </w:rPr>
        <w:tab/>
        <w:t>обезвријеђења потраживања од купаца – 0,85</w:t>
      </w:r>
      <w:r w:rsidR="008D0617">
        <w:rPr>
          <w:b/>
          <w:lang w:val="sr-Cyrl-BA"/>
        </w:rPr>
        <w:t>%</w:t>
      </w:r>
    </w:p>
    <w:p w:rsidR="008D0617" w:rsidRPr="00FE6720" w:rsidRDefault="008D0617" w:rsidP="008D0617">
      <w:pPr>
        <w:jc w:val="both"/>
        <w:rPr>
          <w:sz w:val="8"/>
          <w:szCs w:val="8"/>
          <w:lang w:val="sr-Cyrl-BA"/>
        </w:rPr>
      </w:pPr>
    </w:p>
    <w:p w:rsidR="008D0617" w:rsidRDefault="00A40B4E" w:rsidP="008D0617">
      <w:pPr>
        <w:jc w:val="both"/>
        <w:rPr>
          <w:lang w:val="sr-Cyrl-BA"/>
        </w:rPr>
      </w:pPr>
      <w:r>
        <w:rPr>
          <w:lang w:val="sr-Cyrl-BA"/>
        </w:rPr>
        <w:tab/>
        <w:t>У току 2024</w:t>
      </w:r>
      <w:r w:rsidR="008D0617">
        <w:rPr>
          <w:lang w:val="sr-Cyrl-BA"/>
        </w:rPr>
        <w:t xml:space="preserve">. године предузете су све расположиве мјере за наплату отписаних потраживања. </w:t>
      </w:r>
    </w:p>
    <w:p w:rsidR="008D0617" w:rsidRDefault="008D0617" w:rsidP="008D0617">
      <w:pPr>
        <w:jc w:val="both"/>
        <w:rPr>
          <w:lang w:val="sr-Cyrl-BA"/>
        </w:rPr>
      </w:pPr>
      <w:r>
        <w:rPr>
          <w:lang w:val="sr-Cyrl-BA"/>
        </w:rPr>
        <w:tab/>
        <w:t xml:space="preserve">План прихода од </w:t>
      </w:r>
      <w:r w:rsidR="00A40B4E">
        <w:rPr>
          <w:lang w:val="sr-Cyrl-BA"/>
        </w:rPr>
        <w:t>усклађивања раније признатих кредитних губитака услијед обезвријеђења потраживања од купаца за 2025</w:t>
      </w:r>
      <w:r>
        <w:rPr>
          <w:lang w:val="sr-Cyrl-BA"/>
        </w:rPr>
        <w:t xml:space="preserve">. годину, рађен је на основу остварења из текуће године и планираних активности у сљедећој години. </w:t>
      </w:r>
      <w:r w:rsidR="00A40B4E">
        <w:rPr>
          <w:lang w:val="sr-Cyrl-BA"/>
        </w:rPr>
        <w:tab/>
      </w:r>
      <w:r>
        <w:rPr>
          <w:lang w:val="sr-Cyrl-BA"/>
        </w:rPr>
        <w:t xml:space="preserve">Приликом сачињавања плана прихода од </w:t>
      </w:r>
      <w:r w:rsidR="00A40B4E">
        <w:rPr>
          <w:lang w:val="sr-Cyrl-BA"/>
        </w:rPr>
        <w:t>усклађивања раније признатих кредитних губитака услијед обезвријеђења потраживања од купаца</w:t>
      </w:r>
      <w:r>
        <w:rPr>
          <w:lang w:val="sr-Cyrl-BA"/>
        </w:rPr>
        <w:t>, а.д. „Комуналац“ Бијељина у свом пословању се сусреће са великим бројем проблема, од којих је потребно истаћи најважније:</w:t>
      </w:r>
    </w:p>
    <w:p w:rsidR="008D0617" w:rsidRPr="0050623B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непостојање ваљане законске регулативе којом се регулише одвоз отпада</w:t>
      </w:r>
      <w:r>
        <w:rPr>
          <w:u w:val="none"/>
          <w:lang w:val="sr-Cyrl-BA"/>
        </w:rPr>
        <w:t>, па самим тим и наплата извршених услуга одвоза</w:t>
      </w:r>
      <w:r w:rsidRPr="0050623B">
        <w:rPr>
          <w:u w:val="none"/>
          <w:lang w:val="sr-Cyrl-BA"/>
        </w:rPr>
        <w:t xml:space="preserve">, </w:t>
      </w:r>
    </w:p>
    <w:p w:rsidR="008D0617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непотпуна база података корисника,</w:t>
      </w:r>
    </w:p>
    <w:p w:rsidR="008D0617" w:rsidRDefault="008D0617" w:rsidP="008D0617">
      <w:pPr>
        <w:pStyle w:val="ListParagraph"/>
        <w:numPr>
          <w:ilvl w:val="0"/>
          <w:numId w:val="23"/>
        </w:numPr>
        <w:jc w:val="both"/>
        <w:rPr>
          <w:lang w:val="sr-Cyrl-BA"/>
        </w:rPr>
      </w:pPr>
      <w:r w:rsidRPr="0050623B">
        <w:rPr>
          <w:u w:val="none"/>
          <w:lang w:val="sr-Cyrl-BA"/>
        </w:rPr>
        <w:t>велики број корисника и потенцијална опасност застаре потраживања</w:t>
      </w:r>
      <w:r>
        <w:rPr>
          <w:lang w:val="sr-Cyrl-BA"/>
        </w:rPr>
        <w:t>,</w:t>
      </w:r>
    </w:p>
    <w:p w:rsidR="008D0617" w:rsidRPr="0050623B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проблем наплате од друштва са ограниченом одговорношћу,</w:t>
      </w:r>
    </w:p>
    <w:p w:rsidR="008D0617" w:rsidRPr="0050623B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непостојање довољног броја закључених уговора са корисницима,</w:t>
      </w:r>
    </w:p>
    <w:p w:rsidR="008D0617" w:rsidRPr="0050623B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проблеми доказивања извршених услуга у извршном поступку</w:t>
      </w:r>
      <w:r>
        <w:rPr>
          <w:u w:val="none"/>
          <w:lang w:val="sr-Cyrl-BA"/>
        </w:rPr>
        <w:t xml:space="preserve"> и</w:t>
      </w:r>
    </w:p>
    <w:p w:rsidR="008D0617" w:rsidRDefault="008D0617" w:rsidP="008D0617">
      <w:pPr>
        <w:pStyle w:val="ListParagraph"/>
        <w:numPr>
          <w:ilvl w:val="0"/>
          <w:numId w:val="23"/>
        </w:numPr>
        <w:jc w:val="both"/>
        <w:rPr>
          <w:u w:val="none"/>
          <w:lang w:val="sr-Cyrl-BA"/>
        </w:rPr>
      </w:pPr>
      <w:r w:rsidRPr="0050623B">
        <w:rPr>
          <w:u w:val="none"/>
          <w:lang w:val="sr-Cyrl-BA"/>
        </w:rPr>
        <w:t>високи трошкови п</w:t>
      </w:r>
      <w:r>
        <w:rPr>
          <w:u w:val="none"/>
          <w:lang w:val="sr-Cyrl-BA"/>
        </w:rPr>
        <w:t>окретања приједлога за извршење.</w:t>
      </w:r>
    </w:p>
    <w:p w:rsidR="001704BF" w:rsidRDefault="001704BF" w:rsidP="00C74DDE">
      <w:pPr>
        <w:ind w:firstLine="720"/>
        <w:jc w:val="both"/>
        <w:rPr>
          <w:lang w:val="sr-Cyrl-BA"/>
        </w:rPr>
      </w:pPr>
    </w:p>
    <w:p w:rsidR="000A0DBE" w:rsidRDefault="000A0DBE" w:rsidP="00C74DDE">
      <w:pPr>
        <w:ind w:firstLine="720"/>
        <w:jc w:val="both"/>
        <w:rPr>
          <w:lang w:val="sr-Cyrl-BA"/>
        </w:rPr>
        <w:sectPr w:rsidR="000A0DBE" w:rsidSect="002A4C3B">
          <w:pgSz w:w="12240" w:h="15840" w:code="1"/>
          <w:pgMar w:top="1440" w:right="1797" w:bottom="1440" w:left="1797" w:header="720" w:footer="720" w:gutter="0"/>
          <w:cols w:space="720"/>
          <w:titlePg/>
          <w:docGrid w:linePitch="360"/>
        </w:sectPr>
      </w:pPr>
    </w:p>
    <w:p w:rsidR="00B72AC0" w:rsidRDefault="009129D1" w:rsidP="00E378EE">
      <w:pPr>
        <w:pStyle w:val="NoSpacing"/>
        <w:outlineLvl w:val="0"/>
        <w:rPr>
          <w:b/>
          <w:lang w:val="sr-Cyrl-BA"/>
        </w:rPr>
      </w:pPr>
      <w:bookmarkStart w:id="15" w:name="_Toc153538043"/>
      <w:r w:rsidRPr="00B72AC0">
        <w:rPr>
          <w:b/>
          <w:lang w:val="sr-Latn-CS"/>
        </w:rPr>
        <w:lastRenderedPageBreak/>
        <w:t>ПЛАН</w:t>
      </w:r>
      <w:r w:rsidR="006A54B3" w:rsidRPr="00B72AC0">
        <w:rPr>
          <w:b/>
          <w:lang w:val="sr-Latn-CS"/>
        </w:rPr>
        <w:t xml:space="preserve"> </w:t>
      </w:r>
      <w:r w:rsidRPr="00B72AC0">
        <w:rPr>
          <w:b/>
          <w:lang w:val="sr-Latn-CS"/>
        </w:rPr>
        <w:t>РАСХОДА</w:t>
      </w:r>
      <w:r w:rsidR="006A54B3" w:rsidRPr="00B72AC0">
        <w:rPr>
          <w:b/>
          <w:lang w:val="sr-Latn-CS"/>
        </w:rPr>
        <w:t xml:space="preserve"> </w:t>
      </w:r>
      <w:r w:rsidRPr="00B72AC0">
        <w:rPr>
          <w:b/>
          <w:lang w:val="sr-Latn-CS"/>
        </w:rPr>
        <w:t>ЗА</w:t>
      </w:r>
      <w:r w:rsidR="00B72AC0">
        <w:rPr>
          <w:b/>
          <w:lang w:val="sr-Latn-CS"/>
        </w:rPr>
        <w:t xml:space="preserve"> 202</w:t>
      </w:r>
      <w:r w:rsidR="001B69BF">
        <w:rPr>
          <w:b/>
          <w:lang w:val="sr-Cyrl-BA"/>
        </w:rPr>
        <w:t>5</w:t>
      </w:r>
      <w:r w:rsidR="00057AFF" w:rsidRPr="00B72AC0">
        <w:rPr>
          <w:b/>
          <w:lang w:val="sr-Latn-CS"/>
        </w:rPr>
        <w:t>.</w:t>
      </w:r>
      <w:r w:rsidR="00B72AC0">
        <w:rPr>
          <w:b/>
          <w:lang w:val="sr-Cyrl-BA"/>
        </w:rPr>
        <w:t xml:space="preserve"> </w:t>
      </w:r>
      <w:r w:rsidRPr="00B72AC0">
        <w:rPr>
          <w:b/>
          <w:lang w:val="sr-Latn-CS"/>
        </w:rPr>
        <w:t>ГОДИНУ</w:t>
      </w:r>
      <w:bookmarkEnd w:id="15"/>
    </w:p>
    <w:p w:rsidR="000B1484" w:rsidRDefault="000B1484" w:rsidP="00E378EE">
      <w:pPr>
        <w:pStyle w:val="NoSpacing"/>
        <w:outlineLvl w:val="0"/>
        <w:rPr>
          <w:b/>
          <w:lang w:val="sr-Cyrl-BA"/>
        </w:rPr>
      </w:pPr>
    </w:p>
    <w:tbl>
      <w:tblPr>
        <w:tblW w:w="14899" w:type="dxa"/>
        <w:tblInd w:w="-743" w:type="dxa"/>
        <w:tblLook w:val="04A0"/>
      </w:tblPr>
      <w:tblGrid>
        <w:gridCol w:w="566"/>
        <w:gridCol w:w="775"/>
        <w:gridCol w:w="6707"/>
        <w:gridCol w:w="1275"/>
        <w:gridCol w:w="1276"/>
        <w:gridCol w:w="1276"/>
        <w:gridCol w:w="992"/>
        <w:gridCol w:w="1066"/>
        <w:gridCol w:w="966"/>
      </w:tblGrid>
      <w:tr w:rsidR="000B1484" w:rsidRPr="000B1484" w:rsidTr="00A70FDB">
        <w:trPr>
          <w:trHeight w:val="375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 xml:space="preserve">Конто </w:t>
            </w:r>
          </w:p>
        </w:tc>
        <w:tc>
          <w:tcPr>
            <w:tcW w:w="6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Назив конта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План за 2024. годину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Процјена остварења 31.12.2024.</w:t>
            </w:r>
            <w:r>
              <w:rPr>
                <w:rStyle w:val="FootnoteReference"/>
                <w:b/>
                <w:bCs/>
                <w:sz w:val="20"/>
                <w:szCs w:val="20"/>
                <w:lang w:val="sr-Latn-BA" w:eastAsia="sr-Latn-BA"/>
              </w:rPr>
              <w:t xml:space="preserve"> </w:t>
            </w:r>
            <w:r>
              <w:rPr>
                <w:rStyle w:val="FootnoteReference"/>
                <w:b/>
                <w:bCs/>
                <w:sz w:val="20"/>
                <w:szCs w:val="20"/>
                <w:lang w:val="sr-Latn-BA" w:eastAsia="sr-Latn-BA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План за 2025. годину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Индекс (6/4)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Индекс (6/5)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% учешћа (6)</w:t>
            </w:r>
          </w:p>
        </w:tc>
      </w:tr>
      <w:tr w:rsidR="000B1484" w:rsidRPr="000B1484" w:rsidTr="00A70FDB">
        <w:trPr>
          <w:trHeight w:val="23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6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</w:p>
        </w:tc>
      </w:tr>
      <w:tr w:rsidR="000B1484" w:rsidRPr="000B1484" w:rsidTr="00A70FDB">
        <w:trPr>
          <w:trHeight w:val="229"/>
          <w:tblHeader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</w:t>
            </w:r>
          </w:p>
        </w:tc>
      </w:tr>
      <w:tr w:rsidR="000B1484" w:rsidRPr="000B1484" w:rsidTr="00A70FDB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50100</w:t>
            </w:r>
          </w:p>
        </w:tc>
        <w:tc>
          <w:tcPr>
            <w:tcW w:w="6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Набавна вриједност продате робе на мало-расадник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50101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Набавна вриједност продате робе на мало-готовинска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50102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Набавна вриједност продате робе на мало-жирална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571,43%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501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Набавна вриједност продате робе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8.350,00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131,74%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50230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Набавна вриједност продатих постројења и опреме намијењених продаји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3500,00%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502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Набавна вриједност продатих сталних средстава прибављених ради продаје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b/>
                <w:bCs/>
                <w:sz w:val="20"/>
                <w:szCs w:val="20"/>
                <w:lang w:val="sr-Latn-BA" w:eastAsia="sr-Latn-BA"/>
              </w:rPr>
              <w:t>3500,00</w:t>
            </w:r>
            <w:r>
              <w:rPr>
                <w:b/>
                <w:bCs/>
                <w:sz w:val="20"/>
                <w:szCs w:val="20"/>
                <w:lang w:val="sr-Cyrl-BA" w:eastAsia="sr-Latn-BA"/>
              </w:rPr>
              <w:t>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51100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сировина и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112,90%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0,93%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материјала за израду учинака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112,90%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0,93%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Отпис ауто-гума (нове)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14.200,00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105,63%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51211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Отпис ауто-гума-(протект)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Отпис ХТЗ опреме која се у цјелини отписује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0,36%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Материјал и дијелови утрошени за текуће одржавање сталних средстава-нови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107,69%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0,93%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51241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Материјал и дијелови утрошени за текуће одржавање сталних средстава-половни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51250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канцеларијског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103,23%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512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осталог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147.000,00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132.200,00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102,72%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114,22%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2,00%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51301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нафтних деривата-дизел Е5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360.000,00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4,76%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51302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нафтних деривата -бензин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51303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нафтних деривата -аутогас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51304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нафтних деривата (мазива)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19.500,00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112,82%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електричне енергије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121,21%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117,65%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0,53%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51390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воде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111,11%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513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горива и енергије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399.000,00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396.500,00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439.000,00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110,03%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110,72%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5,80%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52000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бруто зараде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3.650.000,00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3.910.000,00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110,14%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102,81%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53,14%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бруто зарада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3.650.000,00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3.910.000,00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4.020.000,00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110,14%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102,81%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53,14%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52210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бруто накнада члановима Надзорног одбора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0,40%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бруто накнада члановима Надзорног одбора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0,40%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52300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бруто накнада члановима Одбора за ревизију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0,40%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52320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бруто накнада члановима комисије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бруто накнада чл. Одбора за ревизију, других одбора, ком.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103,33%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0,41%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52430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Помоћ запосленим у складу са прописима о раду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524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отпремнина, нагр. и помоћи у складу са прописима о раду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0,26%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52500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дневница на службеном путу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129,63%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52510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смјештаја и исхране на службеном путу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116,67%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109,38%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52520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превоза на службеном путу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222,22%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запослених на службеном путу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105,88%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132,35%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52900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Накнада трошкова превоза запосленим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168,18%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108,82%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2,45%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52990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Остале накнаде трошкова запосленим (регрес, 8.март,Васкрс,Божић...)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382.000,00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109,38%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91,62%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4,63%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52992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Остале накнаде трошкова (топли оброк)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104,55%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106,98%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1,52%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529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бруто осталих личних расхода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659.500,00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120,37%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98,56%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8,59%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53100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превоза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53130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ПТТ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16.100,00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111,80%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53131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 xml:space="preserve">Трошкови ПТТ услуга-пошиљке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53150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интернет услуга и бежичног преноса података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104,76%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транспортних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23.700,00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27.200,00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100,74%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114,77%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0,36%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53200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услуга на текућем одржавању сталних средстава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0,40%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53210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услуга на инвестиционом одржавању сталних средстава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услуга одржавања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160,00%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0,42%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53320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Закупнина опреме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102,22%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0,30%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53390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осталих закупа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187,50%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 xml:space="preserve">Трошкови закупа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26.200,00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110,69%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101,75%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0,38%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53400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закупа сајамског простора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534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сајмова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Cyrl-BA" w:eastAsia="sr-Latn-BA"/>
              </w:rPr>
            </w:pPr>
            <w:r>
              <w:rPr>
                <w:b/>
                <w:bCs/>
                <w:sz w:val="20"/>
                <w:szCs w:val="20"/>
                <w:lang w:val="sr-Cyrl-BA" w:eastAsia="sr-Latn-BA"/>
              </w:rPr>
              <w:t>2000,00%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53500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огласа у новинама,ТВ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116,67%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53520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улагања у предмете на пропагандним порукама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53590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Остали трошкови за рекламу и пропаганду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рекламе и пропаганде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14.200,00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14.200,00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109,23%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53900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за услуге у промету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127,27%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106,06%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53920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за услуге заштите на раду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53980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Привремени и повремени послови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53990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осталих производних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480,00%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53993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депоновања-чврсти отпад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1.140.000,00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1.240.000,00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1.300.000,00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114,04%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104,84%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17,19%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539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осталих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1.176.500,00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1.282.200,00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1.349.000,00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114,66%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105,21%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17,83%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54000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амортизације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275.000,00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290.000,00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82,86%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105,45%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3,83%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амортизације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275.000,00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290.000,00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82,86%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105,45%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3,83%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54140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резервисања за отпремнине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166,67%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0,33%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541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резервисања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166,67%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0,33%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ревизије финансијских извјештаја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адвокатских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127,27%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здравствених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стручног образовања запослених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стручног усавршања-семинари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55060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измјена на постојећим програмима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Остале непроизводне услуге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235,29%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осталих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39.100,00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95,16%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150,90%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0,78%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репрезентације у пословним просторијама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105,88%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репрезентације на сајамским и другим манифестацијама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угоститељских услуга у ужем смислу (храна и пиће)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235,29%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угоститељских услуга приликом прослава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за поклоне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55190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Остали трошкови репрезентације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репрезентације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27.700,00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137,50%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119,13%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0,44%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55200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Премија осигурања некретнина, постројења и опреме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111,11%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55240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Премија осигурања од одговорности према трећим лицима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55260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Премија за обавезно осигурање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0,08%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премија осигурања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109,09%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103,45%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промета-Наша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промета-Атос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114,29%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55302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промета-Нова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68,75%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промета-БПШ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133,33%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55304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промета-девизни рачун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промета-Аддико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55306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 -НЛБ банка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105,26%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55310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платног промета-гаранције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платног промета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12.030,00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12.250,00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98,00%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101,83%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55400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Чланарине привредним коморама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113,64%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554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чланарина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113,64%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55500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Порез на имовину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102,27%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55510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Накнада за општекорисна дејства шума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130,00%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55520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Накнада за противпожарну заштиту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129,41%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104,76%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55540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Накнада за коришћење и загађење вода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146,67%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104,76%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55571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Комунална накнада-општинска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6.500,00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104,84%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пореза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24.200,00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26.300,00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27.300,00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112,81%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103,80%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0,36%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55600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Доприноси за професионалну рехабилитацију инвалида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8.800,00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117,33%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103,53%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55691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Остали доприноси на терет трошкова-волонтери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556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Трошкови доприноса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9.500,00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113,68%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127,06%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огласа у штампи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114,29%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0,05%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55911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РТВ такса-порез на посједовање тв апарата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111,11%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55913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Судске таксе по извршним поступцима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180,00%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0,59%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55915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Судске таксе-остале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Судски трошкови и трошкови вјештачења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претплате на часописе и стручне публикације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55950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за регистрацију возила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103,70%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0,37%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55990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Остали нематеријални трошкови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559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Остали нематеријални трошкови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84.600,00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60.090,00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84.600,00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140,79%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1,12%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56010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A70FDB" w:rsidRDefault="000B1484" w:rsidP="000B1484">
            <w:pPr>
              <w:rPr>
                <w:sz w:val="20"/>
                <w:szCs w:val="20"/>
                <w:lang w:val="sr-Cyrl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 xml:space="preserve">Расходи по основу камата из дужничко-повјерилачких односа са повезаним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78,95%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0,20%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560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Расходи камата од повезаних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125,00%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78,95%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0,20%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56120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Затезне и друге камате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55,56%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561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Расходи камата од неповезаних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55,56%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57020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A70FDB" w:rsidRDefault="000B1484" w:rsidP="000B1484">
            <w:pPr>
              <w:rPr>
                <w:sz w:val="20"/>
                <w:szCs w:val="20"/>
                <w:lang w:val="sr-Cyrl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Неотписана вриједност и додатни трошкови расходовања постројења и опр</w:t>
            </w:r>
            <w:r w:rsidR="00A70FDB">
              <w:rPr>
                <w:sz w:val="20"/>
                <w:szCs w:val="20"/>
                <w:lang w:val="sr-Cyrl-BA" w:eastAsia="sr-Latn-BA"/>
              </w:rPr>
              <w:t>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5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570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Губици по основу отуђења нематеријалних средстава, некретнина, постројења и опреме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57800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A70FDB" w:rsidRDefault="000B1484" w:rsidP="000B1484">
            <w:pPr>
              <w:rPr>
                <w:sz w:val="20"/>
                <w:szCs w:val="20"/>
                <w:lang w:val="sr-Cyrl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Расходи по основу директног отписа потраживања од купаца, осим повезаних л</w:t>
            </w:r>
            <w:r w:rsidR="00A70FDB">
              <w:rPr>
                <w:sz w:val="20"/>
                <w:szCs w:val="20"/>
                <w:lang w:val="sr-Cyrl-BA" w:eastAsia="sr-Latn-BA"/>
              </w:rPr>
              <w:t>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578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Расходи по основу директног отписа потраживања од купаца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57920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Трошкови судских и других спорова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166,67%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57940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Казне за привредне преступе и прекршаје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>
              <w:rPr>
                <w:sz w:val="20"/>
                <w:szCs w:val="20"/>
                <w:lang w:val="sr-Latn-BA" w:eastAsia="sr-Latn-BA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57970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Порез на додату вриједност на прекомјерни кало,растур,квар и лом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57990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Непоменути остали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0,01%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579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Расходовање на залихама материјала и робе и остали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187,50%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0,10%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58530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Обезвређење робе у складишту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585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Губици од усклађивања вриједности залиха материјала и робе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150,00%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0,04%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58710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Кредитни губици потраживања од купаца неповезаних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127,27%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0,93%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587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Губици од усклађивања вриједности потраживања од купаца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127,27%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0,93%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59100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Расходи по основу исправке грешака из ранијих година који нису мат.значајни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0B1484" w:rsidRPr="000B1484" w:rsidRDefault="000B1484" w:rsidP="000B1484">
            <w:pPr>
              <w:pStyle w:val="ListParagraph"/>
              <w:numPr>
                <w:ilvl w:val="0"/>
                <w:numId w:val="35"/>
              </w:numPr>
              <w:jc w:val="center"/>
              <w:rPr>
                <w:b/>
                <w:bCs/>
                <w:sz w:val="20"/>
                <w:lang w:val="sr-Latn-BA" w:eastAsia="sr-Latn-BA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591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 xml:space="preserve">Расходи по основу исправке грешака из ранијих година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0,07%</w:t>
            </w:r>
          </w:p>
        </w:tc>
      </w:tr>
      <w:tr w:rsidR="000B1484" w:rsidRPr="000B1484" w:rsidTr="000B1484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rPr>
                <w:sz w:val="20"/>
                <w:szCs w:val="20"/>
                <w:lang w:val="sr-Latn-BA" w:eastAsia="sr-Latn-BA"/>
              </w:rPr>
            </w:pPr>
            <w:r w:rsidRPr="000B1484">
              <w:rPr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center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УКУПНО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6.891.200,00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7.217.120,00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7.564.350,00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109,77%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104,81%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484" w:rsidRPr="000B1484" w:rsidRDefault="000B1484" w:rsidP="000B1484">
            <w:pPr>
              <w:jc w:val="right"/>
              <w:rPr>
                <w:b/>
                <w:bCs/>
                <w:sz w:val="20"/>
                <w:szCs w:val="20"/>
                <w:lang w:val="sr-Latn-BA" w:eastAsia="sr-Latn-BA"/>
              </w:rPr>
            </w:pPr>
            <w:r w:rsidRPr="000B1484">
              <w:rPr>
                <w:b/>
                <w:bCs/>
                <w:sz w:val="20"/>
                <w:szCs w:val="20"/>
                <w:lang w:val="sr-Latn-BA" w:eastAsia="sr-Latn-BA"/>
              </w:rPr>
              <w:t>100,00%</w:t>
            </w:r>
          </w:p>
        </w:tc>
      </w:tr>
    </w:tbl>
    <w:p w:rsidR="00A70FDB" w:rsidRPr="00A70FDB" w:rsidRDefault="00A70FDB" w:rsidP="00140F57">
      <w:pPr>
        <w:ind w:firstLine="720"/>
        <w:jc w:val="both"/>
        <w:rPr>
          <w:sz w:val="16"/>
          <w:szCs w:val="16"/>
          <w:lang w:val="sr-Cyrl-BA"/>
        </w:rPr>
      </w:pPr>
    </w:p>
    <w:p w:rsidR="000A0DBE" w:rsidRPr="00BB4C00" w:rsidRDefault="009129D1" w:rsidP="00140F57">
      <w:pPr>
        <w:ind w:firstLine="720"/>
        <w:jc w:val="both"/>
        <w:rPr>
          <w:lang w:val="sr-Cyrl-BA"/>
        </w:rPr>
        <w:sectPr w:rsidR="000A0DBE" w:rsidRPr="00BB4C00" w:rsidSect="000A0DBE">
          <w:pgSz w:w="15840" w:h="12240" w:orient="landscape" w:code="1"/>
          <w:pgMar w:top="1797" w:right="1440" w:bottom="1797" w:left="1440" w:header="720" w:footer="720" w:gutter="0"/>
          <w:cols w:space="720"/>
          <w:titlePg/>
          <w:docGrid w:linePitch="360"/>
        </w:sectPr>
      </w:pPr>
      <w:r w:rsidRPr="00BB4C00">
        <w:rPr>
          <w:lang w:val="sr-Latn-CS"/>
        </w:rPr>
        <w:t>Планирани</w:t>
      </w:r>
      <w:r w:rsidR="00364B0D" w:rsidRPr="00BB4C00">
        <w:rPr>
          <w:lang w:val="sr-Latn-CS"/>
        </w:rPr>
        <w:t xml:space="preserve"> </w:t>
      </w:r>
      <w:r w:rsidRPr="00BB4C00">
        <w:rPr>
          <w:lang w:val="sr-Latn-CS"/>
        </w:rPr>
        <w:t>расходи</w:t>
      </w:r>
      <w:r w:rsidR="00C56A02" w:rsidRPr="00BB4C00">
        <w:rPr>
          <w:lang w:val="sr-Latn-CS"/>
        </w:rPr>
        <w:t xml:space="preserve"> </w:t>
      </w:r>
      <w:r w:rsidRPr="00BB4C00">
        <w:rPr>
          <w:lang w:val="sr-Latn-CS"/>
        </w:rPr>
        <w:t>за</w:t>
      </w:r>
      <w:r w:rsidR="00A70FDB">
        <w:rPr>
          <w:lang w:val="sr-Latn-CS"/>
        </w:rPr>
        <w:t xml:space="preserve"> 202</w:t>
      </w:r>
      <w:r w:rsidR="00A70FDB">
        <w:rPr>
          <w:lang w:val="sr-Cyrl-BA"/>
        </w:rPr>
        <w:t>5</w:t>
      </w:r>
      <w:r w:rsidR="00470362" w:rsidRPr="00BB4C00">
        <w:rPr>
          <w:lang w:val="sr-Latn-CS"/>
        </w:rPr>
        <w:t>.</w:t>
      </w:r>
      <w:r w:rsidR="00746FA7" w:rsidRPr="00BB4C00">
        <w:rPr>
          <w:lang w:val="sr-Latn-CS"/>
        </w:rPr>
        <w:t xml:space="preserve"> </w:t>
      </w:r>
      <w:r w:rsidRPr="00BB4C00">
        <w:rPr>
          <w:lang w:val="sr-Latn-CS"/>
        </w:rPr>
        <w:t>годину</w:t>
      </w:r>
      <w:r w:rsidR="003951BF" w:rsidRPr="00BB4C00">
        <w:rPr>
          <w:lang w:val="sr-Latn-CS"/>
        </w:rPr>
        <w:t xml:space="preserve"> </w:t>
      </w:r>
      <w:r w:rsidRPr="00BB4C00">
        <w:rPr>
          <w:lang w:val="sr-Latn-CS"/>
        </w:rPr>
        <w:t>износе</w:t>
      </w:r>
      <w:r w:rsidR="003951BF" w:rsidRPr="00BB4C00">
        <w:rPr>
          <w:lang w:val="sr-Latn-CS"/>
        </w:rPr>
        <w:t xml:space="preserve"> </w:t>
      </w:r>
      <w:r w:rsidR="00A70FDB">
        <w:rPr>
          <w:lang w:val="sr-Cyrl-BA"/>
        </w:rPr>
        <w:t>7.564.350,00</w:t>
      </w:r>
      <w:r w:rsidR="00364B0D" w:rsidRPr="00BB4C00">
        <w:rPr>
          <w:lang w:val="sr-Latn-CS"/>
        </w:rPr>
        <w:t xml:space="preserve"> </w:t>
      </w:r>
      <w:r w:rsidRPr="00BB4C00">
        <w:rPr>
          <w:lang w:val="sr-Latn-CS"/>
        </w:rPr>
        <w:t>КМ</w:t>
      </w:r>
      <w:r w:rsidR="004A67CA" w:rsidRPr="00BB4C00">
        <w:rPr>
          <w:lang w:val="sr-Latn-CS"/>
        </w:rPr>
        <w:t>.</w:t>
      </w:r>
      <w:r w:rsidR="000A0DBE" w:rsidRPr="00BB4C00">
        <w:rPr>
          <w:lang w:val="sr-Cyrl-BA"/>
        </w:rPr>
        <w:t xml:space="preserve"> </w:t>
      </w:r>
      <w:r w:rsidR="00140F57" w:rsidRPr="00BB4C00">
        <w:rPr>
          <w:lang w:val="sr-Cyrl-BA"/>
        </w:rPr>
        <w:t xml:space="preserve">У оквиру </w:t>
      </w:r>
      <w:r w:rsidR="00A70FDB">
        <w:rPr>
          <w:lang w:val="sr-Cyrl-BA"/>
        </w:rPr>
        <w:t>класе планираних расхода за 2025</w:t>
      </w:r>
      <w:r w:rsidR="00140F57" w:rsidRPr="00BB4C00">
        <w:rPr>
          <w:lang w:val="sr-Cyrl-BA"/>
        </w:rPr>
        <w:t>. годину, детаљно образложење дато је за расходе чије је учешће</w:t>
      </w:r>
      <w:r w:rsidR="00570DD4">
        <w:rPr>
          <w:lang w:val="sr-Cyrl-BA"/>
        </w:rPr>
        <w:t xml:space="preserve"> у укупним расходима веће од 0,4</w:t>
      </w:r>
      <w:r w:rsidR="00140F57" w:rsidRPr="00BB4C00">
        <w:rPr>
          <w:lang w:val="sr-Cyrl-BA"/>
        </w:rPr>
        <w:t>0%.</w:t>
      </w:r>
    </w:p>
    <w:p w:rsidR="00140F57" w:rsidRPr="00B267F4" w:rsidRDefault="00140F57" w:rsidP="00140F57">
      <w:pPr>
        <w:ind w:firstLine="720"/>
        <w:jc w:val="both"/>
        <w:rPr>
          <w:b/>
          <w:lang w:val="sr-Cyrl-BA"/>
        </w:rPr>
      </w:pPr>
      <w:r w:rsidRPr="00B267F4">
        <w:rPr>
          <w:b/>
          <w:lang w:val="sr-Cyrl-BA"/>
        </w:rPr>
        <w:lastRenderedPageBreak/>
        <w:t>511 – Трошкови материјала за израду</w:t>
      </w:r>
      <w:r w:rsidR="00A655E6" w:rsidRPr="00B267F4">
        <w:rPr>
          <w:b/>
          <w:lang w:val="sr-Cyrl-BA"/>
        </w:rPr>
        <w:t xml:space="preserve"> учинака</w:t>
      </w:r>
      <w:r w:rsidR="00B60C9D" w:rsidRPr="00B267F4">
        <w:rPr>
          <w:b/>
          <w:lang/>
        </w:rPr>
        <w:t xml:space="preserve"> </w:t>
      </w:r>
      <w:r w:rsidR="00A655E6" w:rsidRPr="00B267F4">
        <w:rPr>
          <w:b/>
          <w:lang w:val="sr-Cyrl-BA"/>
        </w:rPr>
        <w:t>– 0,9</w:t>
      </w:r>
      <w:r w:rsidR="00B76075">
        <w:rPr>
          <w:b/>
          <w:lang w:val="sr-Cyrl-BA"/>
        </w:rPr>
        <w:t>3</w:t>
      </w:r>
      <w:r w:rsidR="00B60C9D" w:rsidRPr="00B267F4">
        <w:rPr>
          <w:b/>
          <w:lang w:val="sr-Cyrl-BA"/>
        </w:rPr>
        <w:t>%</w:t>
      </w:r>
    </w:p>
    <w:p w:rsidR="00B60C9D" w:rsidRPr="00B60C9D" w:rsidRDefault="00B60C9D" w:rsidP="00DA4ED1">
      <w:pPr>
        <w:ind w:firstLine="720"/>
        <w:jc w:val="both"/>
        <w:rPr>
          <w:sz w:val="8"/>
          <w:szCs w:val="8"/>
          <w:lang w:val="sr-Cyrl-BA"/>
        </w:rPr>
      </w:pPr>
    </w:p>
    <w:p w:rsidR="00B60C9D" w:rsidRDefault="00B60C9D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сировина и материјала</w:t>
      </w:r>
      <w:r w:rsidR="00A655E6">
        <w:rPr>
          <w:lang w:val="sr-Cyrl-BA"/>
        </w:rPr>
        <w:t xml:space="preserve"> за израду учинака</w:t>
      </w:r>
      <w:r>
        <w:rPr>
          <w:lang w:val="sr-Cyrl-BA"/>
        </w:rPr>
        <w:t>, са учешћем у укупним расходима од</w:t>
      </w:r>
      <w:r w:rsidR="00CD4EA9">
        <w:rPr>
          <w:lang w:val="sr-Cyrl-BA"/>
        </w:rPr>
        <w:t xml:space="preserve"> 0,9</w:t>
      </w:r>
      <w:r w:rsidR="00CD4EA9">
        <w:rPr>
          <w:lang w:val="sr-Latn-BA"/>
        </w:rPr>
        <w:t>3</w:t>
      </w:r>
      <w:r w:rsidR="00CD4EA9">
        <w:rPr>
          <w:lang w:val="sr-Cyrl-BA"/>
        </w:rPr>
        <w:t xml:space="preserve">%, планирани су у износу од </w:t>
      </w:r>
      <w:r w:rsidR="00CD4EA9">
        <w:rPr>
          <w:lang w:val="sr-Latn-BA"/>
        </w:rPr>
        <w:t>70</w:t>
      </w:r>
      <w:r>
        <w:rPr>
          <w:lang w:val="sr-Cyrl-BA"/>
        </w:rPr>
        <w:t>.000,00 КМ. План трошкова вршен је на основу процјене остварења трошкова сировина и материјала за 202</w:t>
      </w:r>
      <w:r w:rsidR="00CD4EA9">
        <w:rPr>
          <w:lang w:val="sr-Latn-BA"/>
        </w:rPr>
        <w:t>4</w:t>
      </w:r>
      <w:r>
        <w:rPr>
          <w:lang w:val="sr-Cyrl-BA"/>
        </w:rPr>
        <w:t>. годину.</w:t>
      </w:r>
    </w:p>
    <w:p w:rsidR="00B60C9D" w:rsidRPr="00315169" w:rsidRDefault="00B60C9D" w:rsidP="00DA4ED1">
      <w:pPr>
        <w:ind w:firstLine="720"/>
        <w:jc w:val="both"/>
        <w:rPr>
          <w:sz w:val="16"/>
          <w:szCs w:val="16"/>
          <w:lang w:val="sr-Cyrl-BA"/>
        </w:rPr>
      </w:pPr>
    </w:p>
    <w:p w:rsidR="00B60C9D" w:rsidRPr="004D2BE3" w:rsidRDefault="00B60C9D" w:rsidP="00B60C9D">
      <w:pPr>
        <w:ind w:firstLine="720"/>
        <w:jc w:val="both"/>
        <w:rPr>
          <w:b/>
          <w:lang w:val="sr-Cyrl-BA"/>
        </w:rPr>
      </w:pPr>
      <w:r w:rsidRPr="004D2BE3">
        <w:rPr>
          <w:b/>
          <w:lang w:val="sr-Cyrl-BA"/>
        </w:rPr>
        <w:t xml:space="preserve">512 – Трошкови </w:t>
      </w:r>
      <w:r w:rsidR="00A655E6" w:rsidRPr="004D2BE3">
        <w:rPr>
          <w:b/>
          <w:lang w:val="sr-Cyrl-BA"/>
        </w:rPr>
        <w:t>остал</w:t>
      </w:r>
      <w:r w:rsidRPr="004D2BE3">
        <w:rPr>
          <w:b/>
          <w:lang w:val="sr-Cyrl-BA"/>
        </w:rPr>
        <w:t>ог материјала</w:t>
      </w:r>
      <w:r w:rsidRPr="004D2BE3">
        <w:rPr>
          <w:b/>
          <w:lang/>
        </w:rPr>
        <w:t xml:space="preserve"> </w:t>
      </w:r>
      <w:r w:rsidRPr="004D2BE3">
        <w:rPr>
          <w:b/>
          <w:lang w:val="sr-Cyrl-BA"/>
        </w:rPr>
        <w:t>–</w:t>
      </w:r>
      <w:r w:rsidR="00CD4EA9" w:rsidRPr="004D2BE3">
        <w:rPr>
          <w:b/>
          <w:lang w:val="sr-Cyrl-BA"/>
        </w:rPr>
        <w:t xml:space="preserve"> 2,</w:t>
      </w:r>
      <w:r w:rsidR="00CD4EA9" w:rsidRPr="004D2BE3">
        <w:rPr>
          <w:b/>
          <w:lang w:val="sr-Latn-BA"/>
        </w:rPr>
        <w:t>00</w:t>
      </w:r>
      <w:r w:rsidRPr="004D2BE3">
        <w:rPr>
          <w:b/>
          <w:lang w:val="sr-Cyrl-BA"/>
        </w:rPr>
        <w:t>%</w:t>
      </w:r>
    </w:p>
    <w:p w:rsidR="00B60C9D" w:rsidRPr="00C55EAF" w:rsidRDefault="00B60C9D" w:rsidP="00DA4ED1">
      <w:pPr>
        <w:ind w:firstLine="720"/>
        <w:jc w:val="both"/>
        <w:rPr>
          <w:sz w:val="8"/>
          <w:szCs w:val="8"/>
          <w:lang w:val="sr-Cyrl-BA"/>
        </w:rPr>
      </w:pPr>
    </w:p>
    <w:p w:rsidR="00B60C9D" w:rsidRDefault="00A655E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У окв</w:t>
      </w:r>
      <w:r w:rsidR="00EB1B84">
        <w:rPr>
          <w:lang w:val="sr-Cyrl-BA"/>
        </w:rPr>
        <w:t>иру трошкова осталог материјала,</w:t>
      </w:r>
      <w:r w:rsidR="00CD4EA9">
        <w:rPr>
          <w:lang w:val="sr-Cyrl-BA"/>
        </w:rPr>
        <w:t xml:space="preserve"> за 202</w:t>
      </w:r>
      <w:r w:rsidR="004D2BE3">
        <w:rPr>
          <w:lang w:val="sr-Latn-BA"/>
        </w:rPr>
        <w:t>5</w:t>
      </w:r>
      <w:r w:rsidR="00B60C9D">
        <w:rPr>
          <w:lang w:val="sr-Cyrl-BA"/>
        </w:rPr>
        <w:t>. годину планирани су трошкови отписа ауто-гума, трошкови отписа ХТЗ опреме, трошкови резервних дијелова и трошкови канцеларијског материјала.</w:t>
      </w:r>
    </w:p>
    <w:p w:rsidR="00DE20CE" w:rsidRDefault="00A5691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План трошкова отписа ауто-гума (нове и протектиране), </w:t>
      </w:r>
      <w:r w:rsidR="00DE20CE">
        <w:rPr>
          <w:lang w:val="sr-Cyrl-BA"/>
        </w:rPr>
        <w:t>израђен</w:t>
      </w:r>
      <w:r>
        <w:rPr>
          <w:lang w:val="sr-Cyrl-BA"/>
        </w:rPr>
        <w:t xml:space="preserve"> је на основу </w:t>
      </w:r>
      <w:r w:rsidR="00DE20CE">
        <w:rPr>
          <w:lang w:val="sr-Cyrl-BA"/>
        </w:rPr>
        <w:t>процјене стручних служби и очекиване потрошње</w:t>
      </w:r>
      <w:r w:rsidR="00155477">
        <w:rPr>
          <w:lang w:val="sr-Cyrl-BA"/>
        </w:rPr>
        <w:t xml:space="preserve"> у току 202</w:t>
      </w:r>
      <w:r w:rsidR="004D2BE3">
        <w:rPr>
          <w:lang w:val="sr-Latn-BA"/>
        </w:rPr>
        <w:t>5</w:t>
      </w:r>
      <w:r>
        <w:rPr>
          <w:lang w:val="sr-Cyrl-BA"/>
        </w:rPr>
        <w:t xml:space="preserve">. </w:t>
      </w:r>
      <w:r w:rsidR="00DE20CE">
        <w:rPr>
          <w:lang w:val="sr-Cyrl-BA"/>
        </w:rPr>
        <w:t>г</w:t>
      </w:r>
      <w:r>
        <w:rPr>
          <w:lang w:val="sr-Cyrl-BA"/>
        </w:rPr>
        <w:t>одине</w:t>
      </w:r>
      <w:r w:rsidR="00DE20CE">
        <w:rPr>
          <w:lang w:val="sr-Cyrl-BA"/>
        </w:rPr>
        <w:t>.</w:t>
      </w:r>
    </w:p>
    <w:p w:rsidR="00DE20CE" w:rsidRDefault="00DE20CE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План трошкова отписа ХТЗ опреме, израђен је на основу утрошка ХТЗ опреме у текућој години и процијењених от</w:t>
      </w:r>
      <w:r w:rsidR="004D2BE3">
        <w:rPr>
          <w:lang w:val="sr-Cyrl-BA"/>
        </w:rPr>
        <w:t>писа за 202</w:t>
      </w:r>
      <w:r w:rsidR="004D2BE3">
        <w:rPr>
          <w:lang w:val="sr-Latn-BA"/>
        </w:rPr>
        <w:t>5</w:t>
      </w:r>
      <w:r>
        <w:rPr>
          <w:lang w:val="sr-Cyrl-BA"/>
        </w:rPr>
        <w:t>. годину.</w:t>
      </w:r>
    </w:p>
    <w:p w:rsidR="00C55EAF" w:rsidRDefault="00DE20CE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Трошкове резеревних дијелова (нови и половни), тешко је прецизно планирати, јер је просјек старости возног парка</w:t>
      </w:r>
      <w:r w:rsidR="00EB1B84">
        <w:rPr>
          <w:lang w:val="sr-Cyrl-BA"/>
        </w:rPr>
        <w:t xml:space="preserve"> знатно</w:t>
      </w:r>
      <w:r>
        <w:rPr>
          <w:lang w:val="sr-Cyrl-BA"/>
        </w:rPr>
        <w:t xml:space="preserve"> преко 20 година, што ствара додатне проблеме приликом набавке резервних дијелова. Половни резервни дијелови планирани су у већем износу од утрошка 202</w:t>
      </w:r>
      <w:r w:rsidR="004D2BE3">
        <w:rPr>
          <w:lang w:val="sr-Latn-BA"/>
        </w:rPr>
        <w:t>4</w:t>
      </w:r>
      <w:r>
        <w:rPr>
          <w:lang w:val="sr-Cyrl-BA"/>
        </w:rPr>
        <w:t xml:space="preserve">. </w:t>
      </w:r>
      <w:r w:rsidR="00C55EAF">
        <w:rPr>
          <w:lang w:val="sr-Cyrl-BA"/>
        </w:rPr>
        <w:t>г</w:t>
      </w:r>
      <w:r>
        <w:rPr>
          <w:lang w:val="sr-Cyrl-BA"/>
        </w:rPr>
        <w:t>одине</w:t>
      </w:r>
      <w:r w:rsidR="00C55EAF">
        <w:rPr>
          <w:lang w:val="sr-Cyrl-BA"/>
        </w:rPr>
        <w:t>, јер одређене дијелове за поједина возила немогуће је набавити у трговинама нових дијелова, а кварови старих возила су учестали и веома често непредвидиви.</w:t>
      </w:r>
    </w:p>
    <w:p w:rsidR="00C55EAF" w:rsidRDefault="00C55EAF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канцеларијског материјала су планирани у незнатно већем износу од утрошка текуће године, јер је примјетно повећање цијена појединих ставки.</w:t>
      </w:r>
    </w:p>
    <w:p w:rsidR="00C55EAF" w:rsidRPr="00315169" w:rsidRDefault="00C55EAF" w:rsidP="00DA4ED1">
      <w:pPr>
        <w:ind w:firstLine="720"/>
        <w:jc w:val="both"/>
        <w:rPr>
          <w:sz w:val="16"/>
          <w:szCs w:val="16"/>
          <w:lang w:val="sr-Cyrl-BA"/>
        </w:rPr>
      </w:pPr>
    </w:p>
    <w:p w:rsidR="00C55EAF" w:rsidRPr="00B60C9D" w:rsidRDefault="00C55EAF" w:rsidP="00C55EAF">
      <w:pPr>
        <w:ind w:firstLine="720"/>
        <w:jc w:val="both"/>
        <w:rPr>
          <w:b/>
          <w:lang w:val="sr-Cyrl-BA"/>
        </w:rPr>
      </w:pPr>
      <w:r>
        <w:rPr>
          <w:lang w:val="sr-Cyrl-BA"/>
        </w:rPr>
        <w:t xml:space="preserve"> </w:t>
      </w:r>
      <w:r w:rsidRPr="00B60C9D">
        <w:rPr>
          <w:b/>
          <w:lang w:val="sr-Cyrl-BA"/>
        </w:rPr>
        <w:t>51</w:t>
      </w:r>
      <w:r>
        <w:rPr>
          <w:b/>
          <w:lang w:val="sr-Cyrl-BA"/>
        </w:rPr>
        <w:t>3</w:t>
      </w:r>
      <w:r w:rsidRPr="00B60C9D">
        <w:rPr>
          <w:b/>
          <w:lang w:val="sr-Cyrl-BA"/>
        </w:rPr>
        <w:t xml:space="preserve"> – Трошкови </w:t>
      </w:r>
      <w:r>
        <w:rPr>
          <w:b/>
          <w:lang w:val="sr-Cyrl-BA"/>
        </w:rPr>
        <w:t>горива и енергије</w:t>
      </w:r>
      <w:r w:rsidRPr="00B60C9D">
        <w:rPr>
          <w:b/>
          <w:lang/>
        </w:rPr>
        <w:t xml:space="preserve"> </w:t>
      </w:r>
      <w:r w:rsidRPr="00B60C9D">
        <w:rPr>
          <w:b/>
          <w:lang w:val="sr-Cyrl-BA"/>
        </w:rPr>
        <w:t>–</w:t>
      </w:r>
      <w:r w:rsidR="004D2BE3">
        <w:rPr>
          <w:b/>
          <w:lang w:val="sr-Cyrl-BA"/>
        </w:rPr>
        <w:t xml:space="preserve"> 5,</w:t>
      </w:r>
      <w:r w:rsidR="004D2BE3">
        <w:rPr>
          <w:b/>
          <w:lang w:val="sr-Latn-BA"/>
        </w:rPr>
        <w:t>80</w:t>
      </w:r>
      <w:r w:rsidRPr="00B60C9D">
        <w:rPr>
          <w:b/>
          <w:lang w:val="sr-Cyrl-BA"/>
        </w:rPr>
        <w:t>%</w:t>
      </w:r>
    </w:p>
    <w:p w:rsidR="00C55EAF" w:rsidRPr="002C6782" w:rsidRDefault="00C55EAF" w:rsidP="00DA4ED1">
      <w:pPr>
        <w:ind w:firstLine="720"/>
        <w:jc w:val="both"/>
        <w:rPr>
          <w:sz w:val="8"/>
          <w:szCs w:val="8"/>
          <w:lang w:val="sr-Cyrl-BA"/>
        </w:rPr>
      </w:pPr>
    </w:p>
    <w:p w:rsidR="00F8140E" w:rsidRDefault="00C55EAF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У оквиру трошкова горива и енергије, </w:t>
      </w:r>
      <w:r w:rsidR="00F8140E">
        <w:rPr>
          <w:lang w:val="sr-Cyrl-BA"/>
        </w:rPr>
        <w:t xml:space="preserve">планирани су трошкови нафтних деривата, трошкови електричне енергије и трошкови воде. </w:t>
      </w:r>
    </w:p>
    <w:p w:rsidR="00F8140E" w:rsidRDefault="004D2BE3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нафтних деривата у 202</w:t>
      </w:r>
      <w:r>
        <w:rPr>
          <w:lang w:val="sr-Latn-BA"/>
        </w:rPr>
        <w:t>4</w:t>
      </w:r>
      <w:r w:rsidR="00F8140E">
        <w:rPr>
          <w:lang w:val="sr-Cyrl-BA"/>
        </w:rPr>
        <w:t>. години,</w:t>
      </w:r>
      <w:r w:rsidR="002C6782">
        <w:rPr>
          <w:lang w:val="sr-Cyrl-BA"/>
        </w:rPr>
        <w:t xml:space="preserve"> </w:t>
      </w:r>
      <w:r>
        <w:rPr>
          <w:lang w:val="sr-Cyrl-BA"/>
        </w:rPr>
        <w:t>остварени су у износу</w:t>
      </w:r>
      <w:r w:rsidR="00F8140E">
        <w:rPr>
          <w:lang w:val="sr-Cyrl-BA"/>
        </w:rPr>
        <w:t xml:space="preserve"> планираних тро</w:t>
      </w:r>
      <w:r w:rsidR="00EB1B84">
        <w:rPr>
          <w:lang w:val="sr-Cyrl-BA"/>
        </w:rPr>
        <w:t>шкова, првенствено због ниже</w:t>
      </w:r>
      <w:r w:rsidR="00F8140E">
        <w:rPr>
          <w:lang w:val="sr-Cyrl-BA"/>
        </w:rPr>
        <w:t xml:space="preserve"> цијене,</w:t>
      </w:r>
      <w:r>
        <w:rPr>
          <w:lang w:val="sr-Cyrl-BA"/>
        </w:rPr>
        <w:t xml:space="preserve"> јер су се количине утрошеног горива повећале, због повећања обухв</w:t>
      </w:r>
      <w:r w:rsidR="00D33B96">
        <w:rPr>
          <w:lang w:val="sr-Cyrl-BA"/>
        </w:rPr>
        <w:t>ата одвоза отпада на нови терен</w:t>
      </w:r>
      <w:r w:rsidR="00D33B96">
        <w:rPr>
          <w:lang w:val="sr-Latn-BA"/>
        </w:rPr>
        <w:t xml:space="preserve">, </w:t>
      </w:r>
      <w:r w:rsidR="00D33B96">
        <w:rPr>
          <w:lang w:val="sr-Cyrl-BA"/>
        </w:rPr>
        <w:t>односно зону 2, у оквиру које је евидентирано око 5200 корисника, од којих је 5000 физичких лица и око 200 правних лица.</w:t>
      </w:r>
      <w:r w:rsidR="00F8140E">
        <w:rPr>
          <w:lang w:val="sr-Cyrl-BA"/>
        </w:rPr>
        <w:t xml:space="preserve"> </w:t>
      </w:r>
      <w:r w:rsidR="00D33B96">
        <w:rPr>
          <w:lang w:val="sr-Cyrl-BA"/>
        </w:rPr>
        <w:t>П</w:t>
      </w:r>
      <w:r w:rsidR="00EB1B84">
        <w:rPr>
          <w:lang w:val="sr-Cyrl-BA"/>
        </w:rPr>
        <w:t>лан наведених трошкова за 202</w:t>
      </w:r>
      <w:r w:rsidR="00D33B96">
        <w:rPr>
          <w:lang w:val="sr-Cyrl-BA"/>
        </w:rPr>
        <w:t>5</w:t>
      </w:r>
      <w:r w:rsidR="00F8140E">
        <w:rPr>
          <w:lang w:val="sr-Cyrl-BA"/>
        </w:rPr>
        <w:t>. годину рађен на основу постојећих цијена</w:t>
      </w:r>
      <w:r w:rsidR="00EB1B84">
        <w:rPr>
          <w:lang w:val="sr-Cyrl-BA"/>
        </w:rPr>
        <w:t xml:space="preserve"> уз </w:t>
      </w:r>
      <w:r w:rsidR="00D33B96">
        <w:rPr>
          <w:lang w:val="sr-Cyrl-BA"/>
        </w:rPr>
        <w:t xml:space="preserve">повећање </w:t>
      </w:r>
      <w:r w:rsidR="00F8140E">
        <w:rPr>
          <w:lang w:val="sr-Cyrl-BA"/>
        </w:rPr>
        <w:t xml:space="preserve">потребних количина горива и мазива. </w:t>
      </w:r>
    </w:p>
    <w:p w:rsidR="00F8140E" w:rsidRDefault="00F8140E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електричне енергије су планирани н</w:t>
      </w:r>
      <w:r w:rsidR="00155477">
        <w:rPr>
          <w:lang w:val="sr-Cyrl-BA"/>
        </w:rPr>
        <w:t xml:space="preserve">а основу процјене </w:t>
      </w:r>
      <w:r w:rsidR="00D33B96">
        <w:rPr>
          <w:lang w:val="sr-Cyrl-BA"/>
        </w:rPr>
        <w:t>остварења 2024</w:t>
      </w:r>
      <w:r>
        <w:rPr>
          <w:lang w:val="sr-Cyrl-BA"/>
        </w:rPr>
        <w:t xml:space="preserve">. године и најављеног </w:t>
      </w:r>
      <w:r w:rsidR="00EB1B84">
        <w:rPr>
          <w:lang w:val="sr-Cyrl-BA"/>
        </w:rPr>
        <w:t>повећања цијена у 202</w:t>
      </w:r>
      <w:r w:rsidR="00D33B96">
        <w:rPr>
          <w:lang w:val="sr-Cyrl-BA"/>
        </w:rPr>
        <w:t>5</w:t>
      </w:r>
      <w:r>
        <w:rPr>
          <w:lang w:val="sr-Cyrl-BA"/>
        </w:rPr>
        <w:t>. години.</w:t>
      </w:r>
    </w:p>
    <w:p w:rsidR="00B60C9D" w:rsidRDefault="00F8140E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Трошкови </w:t>
      </w:r>
      <w:r w:rsidR="00155477">
        <w:rPr>
          <w:lang w:val="sr-Cyrl-BA"/>
        </w:rPr>
        <w:t>воде су планирани у износу од 10</w:t>
      </w:r>
      <w:r>
        <w:rPr>
          <w:lang w:val="sr-Cyrl-BA"/>
        </w:rPr>
        <w:t>.000,00</w:t>
      </w:r>
      <w:r w:rsidR="00155477">
        <w:rPr>
          <w:lang w:val="sr-Cyrl-BA"/>
        </w:rPr>
        <w:t xml:space="preserve"> КМ, првенствено због изграђеног</w:t>
      </w:r>
      <w:r>
        <w:rPr>
          <w:lang w:val="sr-Cyrl-BA"/>
        </w:rPr>
        <w:t xml:space="preserve"> платоа за прање возила у кругу Службе комуналних услуга, чиме </w:t>
      </w:r>
      <w:r w:rsidR="00155477">
        <w:rPr>
          <w:lang w:val="sr-Cyrl-BA"/>
        </w:rPr>
        <w:t>ће се утрошак воде повећати</w:t>
      </w:r>
      <w:r>
        <w:rPr>
          <w:lang w:val="sr-Cyrl-BA"/>
        </w:rPr>
        <w:t xml:space="preserve">.  </w:t>
      </w:r>
      <w:r w:rsidR="00B60C9D">
        <w:rPr>
          <w:lang w:val="sr-Cyrl-BA"/>
        </w:rPr>
        <w:t xml:space="preserve">  </w:t>
      </w:r>
    </w:p>
    <w:p w:rsidR="00B60C9D" w:rsidRPr="00315169" w:rsidRDefault="00B60C9D" w:rsidP="00DA4ED1">
      <w:pPr>
        <w:ind w:firstLine="720"/>
        <w:jc w:val="both"/>
        <w:rPr>
          <w:sz w:val="16"/>
          <w:szCs w:val="16"/>
          <w:lang w:val="sr-Cyrl-BA"/>
        </w:rPr>
      </w:pPr>
    </w:p>
    <w:p w:rsidR="002C6782" w:rsidRPr="00D93E30" w:rsidRDefault="00225859" w:rsidP="00DA4ED1">
      <w:pPr>
        <w:ind w:firstLine="720"/>
        <w:jc w:val="both"/>
        <w:rPr>
          <w:lang w:val="sr-Cyrl-BA"/>
        </w:rPr>
      </w:pPr>
      <w:r w:rsidRPr="00D93E30">
        <w:rPr>
          <w:b/>
          <w:lang w:val="sr-Cyrl-BA"/>
        </w:rPr>
        <w:t>5</w:t>
      </w:r>
      <w:r w:rsidRPr="00D93E30">
        <w:rPr>
          <w:b/>
          <w:lang/>
        </w:rPr>
        <w:t>20</w:t>
      </w:r>
      <w:r w:rsidR="002C6782" w:rsidRPr="00D93E30">
        <w:rPr>
          <w:b/>
          <w:lang w:val="sr-Cyrl-BA"/>
        </w:rPr>
        <w:t xml:space="preserve"> – Трошкови </w:t>
      </w:r>
      <w:r w:rsidRPr="00D93E30">
        <w:rPr>
          <w:b/>
          <w:lang w:val="sr-Cyrl-BA"/>
        </w:rPr>
        <w:t>бруто зарада</w:t>
      </w:r>
      <w:r w:rsidR="002C6782" w:rsidRPr="00D93E30">
        <w:rPr>
          <w:b/>
          <w:lang/>
        </w:rPr>
        <w:t xml:space="preserve"> </w:t>
      </w:r>
      <w:r w:rsidR="00D93E30" w:rsidRPr="00D93E30">
        <w:rPr>
          <w:b/>
          <w:lang w:val="sr-Cyrl-BA"/>
        </w:rPr>
        <w:t>– 5</w:t>
      </w:r>
      <w:r w:rsidR="00D93E30" w:rsidRPr="00D93E30">
        <w:rPr>
          <w:b/>
          <w:lang w:val="sr-Latn-BA"/>
        </w:rPr>
        <w:t>3,14</w:t>
      </w:r>
      <w:r w:rsidR="002C6782" w:rsidRPr="00D93E30">
        <w:rPr>
          <w:b/>
          <w:lang w:val="sr-Cyrl-BA"/>
        </w:rPr>
        <w:t>%</w:t>
      </w:r>
    </w:p>
    <w:p w:rsidR="002C6782" w:rsidRPr="00594892" w:rsidRDefault="002C6782" w:rsidP="00DA4ED1">
      <w:pPr>
        <w:ind w:firstLine="720"/>
        <w:jc w:val="both"/>
        <w:rPr>
          <w:sz w:val="8"/>
          <w:szCs w:val="8"/>
          <w:lang w:val="sr-Cyrl-BA"/>
        </w:rPr>
      </w:pPr>
    </w:p>
    <w:p w:rsidR="00225859" w:rsidRDefault="00225859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бруто зарада, који у укупним расходи</w:t>
      </w:r>
      <w:r w:rsidR="00D93E30">
        <w:rPr>
          <w:lang w:val="sr-Cyrl-BA"/>
        </w:rPr>
        <w:t>ма имају највеће учешће са 5</w:t>
      </w:r>
      <w:r w:rsidR="00D93E30">
        <w:rPr>
          <w:lang w:val="sr-Latn-BA"/>
        </w:rPr>
        <w:t>3,14</w:t>
      </w:r>
      <w:r w:rsidR="00884423">
        <w:rPr>
          <w:lang w:val="sr-Cyrl-BA"/>
        </w:rPr>
        <w:t>%, планирани су у износу</w:t>
      </w:r>
      <w:r w:rsidR="00D93E30">
        <w:rPr>
          <w:lang w:val="sr-Cyrl-BA"/>
        </w:rPr>
        <w:t xml:space="preserve"> од </w:t>
      </w:r>
      <w:r w:rsidR="00D93E30">
        <w:rPr>
          <w:lang w:val="sr-Latn-BA"/>
        </w:rPr>
        <w:t>4.02</w:t>
      </w:r>
      <w:r w:rsidR="00884423">
        <w:rPr>
          <w:lang w:val="sr-Cyrl-BA"/>
        </w:rPr>
        <w:t>0</w:t>
      </w:r>
      <w:r>
        <w:rPr>
          <w:lang w:val="sr-Cyrl-BA"/>
        </w:rPr>
        <w:t>.000,00 КМ, док је процијењено остварење</w:t>
      </w:r>
      <w:r w:rsidR="000D648F">
        <w:rPr>
          <w:lang w:val="sr-Cyrl-BA"/>
        </w:rPr>
        <w:t xml:space="preserve"> трошкова</w:t>
      </w:r>
      <w:r>
        <w:rPr>
          <w:lang w:val="sr-Cyrl-BA"/>
        </w:rPr>
        <w:t xml:space="preserve"> на дан 31.12.202</w:t>
      </w:r>
      <w:r w:rsidR="00A04194">
        <w:rPr>
          <w:lang w:val="sr-Latn-BA"/>
        </w:rPr>
        <w:t>4</w:t>
      </w:r>
      <w:r w:rsidR="00A04194">
        <w:rPr>
          <w:lang w:val="sr-Cyrl-BA"/>
        </w:rPr>
        <w:t>. године 3.</w:t>
      </w:r>
      <w:r w:rsidR="00A04194">
        <w:rPr>
          <w:lang w:val="sr-Latn-BA"/>
        </w:rPr>
        <w:t>91</w:t>
      </w:r>
      <w:r w:rsidR="00884423">
        <w:rPr>
          <w:lang w:val="sr-Cyrl-BA"/>
        </w:rPr>
        <w:t>0.0</w:t>
      </w:r>
      <w:r>
        <w:rPr>
          <w:lang w:val="sr-Cyrl-BA"/>
        </w:rPr>
        <w:t>00,00 КМ</w:t>
      </w:r>
      <w:r w:rsidR="000D648F">
        <w:rPr>
          <w:lang w:val="sr-Cyrl-BA"/>
        </w:rPr>
        <w:t xml:space="preserve">. </w:t>
      </w:r>
    </w:p>
    <w:p w:rsidR="000D648F" w:rsidRDefault="000D648F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Велики проценат учешћа трошкова бруто зарада у укупним расходима, </w:t>
      </w:r>
      <w:r w:rsidR="00884423">
        <w:rPr>
          <w:lang w:val="sr-Cyrl-BA"/>
        </w:rPr>
        <w:t xml:space="preserve">директно </w:t>
      </w:r>
      <w:r w:rsidR="00594892">
        <w:rPr>
          <w:lang w:val="sr-Cyrl-BA"/>
        </w:rPr>
        <w:t>је повезан са бројем извршилаца, који су неопходни због услужне дјелатности Друштва.</w:t>
      </w:r>
    </w:p>
    <w:p w:rsidR="00570DD4" w:rsidRDefault="00594892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lastRenderedPageBreak/>
        <w:t>Повећање трошкова бруто зарада у 202</w:t>
      </w:r>
      <w:r w:rsidR="00A04194">
        <w:rPr>
          <w:lang w:val="sr-Latn-BA"/>
        </w:rPr>
        <w:t>5</w:t>
      </w:r>
      <w:r>
        <w:rPr>
          <w:lang w:val="sr-Cyrl-BA"/>
        </w:rPr>
        <w:t>. години у односу на ос</w:t>
      </w:r>
      <w:r w:rsidR="00EA4FF8">
        <w:rPr>
          <w:lang w:val="sr-Cyrl-BA"/>
        </w:rPr>
        <w:t>тварење 2</w:t>
      </w:r>
      <w:r w:rsidR="00A04194">
        <w:rPr>
          <w:lang w:val="sr-Cyrl-BA"/>
        </w:rPr>
        <w:t>02</w:t>
      </w:r>
      <w:r w:rsidR="00A04194">
        <w:rPr>
          <w:lang w:val="sr-Latn-BA"/>
        </w:rPr>
        <w:t>4</w:t>
      </w:r>
      <w:r w:rsidR="00EA4FF8">
        <w:rPr>
          <w:lang w:val="sr-Cyrl-BA"/>
        </w:rPr>
        <w:t xml:space="preserve">. године, планирано је због </w:t>
      </w:r>
      <w:r w:rsidR="00A04194">
        <w:rPr>
          <w:lang w:val="sr-Cyrl-BA"/>
        </w:rPr>
        <w:t>усклађивања плата</w:t>
      </w:r>
      <w:r w:rsidR="00570DD4">
        <w:rPr>
          <w:lang w:val="sr-Cyrl-BA"/>
        </w:rPr>
        <w:t xml:space="preserve"> оним радницима за које није извршено усклађивање са повећањем најниже плате са 700,00 КМ на 900,00 КМ.</w:t>
      </w:r>
      <w:r w:rsidR="00A04194">
        <w:rPr>
          <w:lang w:val="sr-Cyrl-BA"/>
        </w:rPr>
        <w:t xml:space="preserve"> Када је најнижа плата повећана са 700,00 КМ на 900,00 КМ, за већи дио радника из техничког сектора извршено је повећање плата</w:t>
      </w:r>
      <w:r w:rsidR="00570DD4">
        <w:rPr>
          <w:lang w:val="sr-Cyrl-BA"/>
        </w:rPr>
        <w:t>, док</w:t>
      </w:r>
      <w:r w:rsidR="00A04194">
        <w:rPr>
          <w:lang w:val="sr-Cyrl-BA"/>
        </w:rPr>
        <w:t xml:space="preserve"> за већину радника из сектора за економско-финансијске, правне и опште послове </w:t>
      </w:r>
      <w:r w:rsidR="00570DD4">
        <w:rPr>
          <w:lang w:val="sr-Cyrl-BA"/>
        </w:rPr>
        <w:t>плата није усклађена</w:t>
      </w:r>
      <w:r w:rsidR="00A04194">
        <w:rPr>
          <w:lang w:val="sr-Cyrl-BA"/>
        </w:rPr>
        <w:t xml:space="preserve"> са повећањем најниже плате, што представља озбиљан удар на мотивацију</w:t>
      </w:r>
      <w:r w:rsidR="00570DD4">
        <w:rPr>
          <w:lang w:val="sr-Cyrl-BA"/>
        </w:rPr>
        <w:t xml:space="preserve"> и вредновање рада</w:t>
      </w:r>
      <w:r w:rsidR="00A04194">
        <w:rPr>
          <w:lang w:val="sr-Cyrl-BA"/>
        </w:rPr>
        <w:t xml:space="preserve"> радника</w:t>
      </w:r>
      <w:r w:rsidR="00570DD4">
        <w:rPr>
          <w:lang w:val="sr-Cyrl-BA"/>
        </w:rPr>
        <w:t>.</w:t>
      </w:r>
    </w:p>
    <w:p w:rsidR="00884423" w:rsidRDefault="00884423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Уколико</w:t>
      </w:r>
      <w:r w:rsidR="00570DD4">
        <w:rPr>
          <w:lang w:val="sr-Cyrl-BA"/>
        </w:rPr>
        <w:t xml:space="preserve"> се у наредном периоду</w:t>
      </w:r>
      <w:r>
        <w:rPr>
          <w:lang w:val="sr-Cyrl-BA"/>
        </w:rPr>
        <w:t xml:space="preserve"> </w:t>
      </w:r>
      <w:r w:rsidR="00570DD4">
        <w:rPr>
          <w:lang w:val="sr-Cyrl-BA"/>
        </w:rPr>
        <w:t>повећа</w:t>
      </w:r>
      <w:r>
        <w:rPr>
          <w:lang w:val="sr-Cyrl-BA"/>
        </w:rPr>
        <w:t xml:space="preserve"> најнижа плата, то ће аутоматски значити и хитну измјену Плана пословања за 202</w:t>
      </w:r>
      <w:r w:rsidR="00570DD4">
        <w:rPr>
          <w:lang w:val="sr-Cyrl-BA"/>
        </w:rPr>
        <w:t>5</w:t>
      </w:r>
      <w:r>
        <w:rPr>
          <w:lang w:val="sr-Cyrl-BA"/>
        </w:rPr>
        <w:t xml:space="preserve">. годину, због недостатка планираних прихода у односу на планиране </w:t>
      </w:r>
      <w:r w:rsidRPr="0049150E">
        <w:rPr>
          <w:lang w:val="sr-Cyrl-BA"/>
        </w:rPr>
        <w:t xml:space="preserve">расходе. </w:t>
      </w:r>
      <w:r w:rsidR="00570DD4">
        <w:rPr>
          <w:lang w:val="sr-Cyrl-BA"/>
        </w:rPr>
        <w:t xml:space="preserve">У том моменту неопходно је упутити у хитну процедуру нови приједлог повећања цијена комуналних услуга. </w:t>
      </w:r>
      <w:r w:rsidRPr="0049150E">
        <w:rPr>
          <w:lang w:val="sr-Cyrl-BA"/>
        </w:rPr>
        <w:t>Ос</w:t>
      </w:r>
      <w:r w:rsidR="0049150E" w:rsidRPr="0049150E">
        <w:rPr>
          <w:lang w:val="sr-Cyrl-BA"/>
        </w:rPr>
        <w:t xml:space="preserve">новна дјелатност друштва директно је угрожена неблаговременим давањем сагласности </w:t>
      </w:r>
      <w:r w:rsidR="00570DD4">
        <w:rPr>
          <w:lang w:val="sr-Cyrl-BA"/>
        </w:rPr>
        <w:t>на цјеновнике комуналних услуга, што је често била пракса у претходном периоду.</w:t>
      </w:r>
    </w:p>
    <w:p w:rsidR="00225859" w:rsidRPr="00315169" w:rsidRDefault="00225859" w:rsidP="00DA4ED1">
      <w:pPr>
        <w:ind w:firstLine="720"/>
        <w:jc w:val="both"/>
        <w:rPr>
          <w:sz w:val="16"/>
          <w:szCs w:val="16"/>
          <w:lang w:val="sr-Cyrl-BA"/>
        </w:rPr>
      </w:pPr>
    </w:p>
    <w:p w:rsidR="00D825B0" w:rsidRPr="008F5D14" w:rsidRDefault="00D825B0" w:rsidP="00D825B0">
      <w:pPr>
        <w:ind w:firstLine="720"/>
        <w:jc w:val="both"/>
        <w:rPr>
          <w:lang w:val="sr-Cyrl-BA"/>
        </w:rPr>
      </w:pPr>
      <w:r w:rsidRPr="008F5D14">
        <w:rPr>
          <w:b/>
          <w:lang w:val="sr-Cyrl-BA"/>
        </w:rPr>
        <w:t>5</w:t>
      </w:r>
      <w:r w:rsidRPr="008F5D14">
        <w:rPr>
          <w:b/>
          <w:lang/>
        </w:rPr>
        <w:t>22</w:t>
      </w:r>
      <w:r w:rsidRPr="008F5D14">
        <w:rPr>
          <w:b/>
          <w:lang w:val="sr-Cyrl-BA"/>
        </w:rPr>
        <w:t xml:space="preserve"> – Трошкови бруто накнада члановима надзорног одбора</w:t>
      </w:r>
      <w:r w:rsidRPr="008F5D14">
        <w:rPr>
          <w:b/>
          <w:lang/>
        </w:rPr>
        <w:t xml:space="preserve"> </w:t>
      </w:r>
      <w:r w:rsidRPr="008F5D14">
        <w:rPr>
          <w:b/>
          <w:lang w:val="sr-Cyrl-BA"/>
        </w:rPr>
        <w:t>–</w:t>
      </w:r>
      <w:r w:rsidR="005B0CE1">
        <w:rPr>
          <w:b/>
          <w:lang w:val="sr-Cyrl-BA"/>
        </w:rPr>
        <w:t xml:space="preserve"> 0,40</w:t>
      </w:r>
      <w:r w:rsidRPr="008F5D14">
        <w:rPr>
          <w:b/>
          <w:lang w:val="sr-Cyrl-BA"/>
        </w:rPr>
        <w:t>%</w:t>
      </w:r>
    </w:p>
    <w:p w:rsidR="00225859" w:rsidRPr="008F5D14" w:rsidRDefault="00225859" w:rsidP="00DA4ED1">
      <w:pPr>
        <w:ind w:firstLine="720"/>
        <w:jc w:val="both"/>
        <w:rPr>
          <w:sz w:val="8"/>
          <w:szCs w:val="8"/>
          <w:lang w:val="sr-Cyrl-BA"/>
        </w:rPr>
      </w:pPr>
    </w:p>
    <w:p w:rsidR="00225859" w:rsidRPr="008F5D14" w:rsidRDefault="00D825B0" w:rsidP="00DA4ED1">
      <w:pPr>
        <w:ind w:firstLine="720"/>
        <w:jc w:val="both"/>
        <w:rPr>
          <w:lang w:val="sr-Cyrl-BA"/>
        </w:rPr>
      </w:pPr>
      <w:r w:rsidRPr="008F5D14">
        <w:rPr>
          <w:lang w:val="sr-Cyrl-BA"/>
        </w:rPr>
        <w:t>Трошкови бруто накнада члановима надзорног одбора (пет чланова)</w:t>
      </w:r>
      <w:r w:rsidR="00AE2236" w:rsidRPr="008F5D14">
        <w:rPr>
          <w:lang w:val="sr-Cyrl-BA"/>
        </w:rPr>
        <w:t>,</w:t>
      </w:r>
      <w:r w:rsidR="008F5D14" w:rsidRPr="008F5D14">
        <w:rPr>
          <w:lang w:val="sr-Cyrl-BA"/>
        </w:rPr>
        <w:t xml:space="preserve"> мјесечно износе 2.498,75</w:t>
      </w:r>
      <w:r w:rsidRPr="008F5D14">
        <w:rPr>
          <w:lang w:val="sr-Cyrl-BA"/>
        </w:rPr>
        <w:t xml:space="preserve"> КМ (нето 1.500,0</w:t>
      </w:r>
      <w:r w:rsidR="008F5D14" w:rsidRPr="008F5D14">
        <w:rPr>
          <w:lang w:val="sr-Cyrl-BA"/>
        </w:rPr>
        <w:t>0 КМ), односно год</w:t>
      </w:r>
      <w:r w:rsidR="005B0CE1">
        <w:rPr>
          <w:lang w:val="sr-Cyrl-BA"/>
        </w:rPr>
        <w:t>ишње 29.985,00 КМ, те је за 2025</w:t>
      </w:r>
      <w:r w:rsidRPr="008F5D14">
        <w:rPr>
          <w:lang w:val="sr-Cyrl-BA"/>
        </w:rPr>
        <w:t>. годину планирано издвајање од 30.000,00 КМ.</w:t>
      </w:r>
    </w:p>
    <w:p w:rsidR="00225859" w:rsidRPr="00315169" w:rsidRDefault="00225859" w:rsidP="00DA4ED1">
      <w:pPr>
        <w:ind w:firstLine="720"/>
        <w:jc w:val="both"/>
        <w:rPr>
          <w:sz w:val="16"/>
          <w:szCs w:val="16"/>
          <w:lang w:val="sr-Cyrl-BA"/>
        </w:rPr>
      </w:pPr>
    </w:p>
    <w:p w:rsidR="00AE2236" w:rsidRDefault="00AE2236" w:rsidP="00AE2236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t>5</w:t>
      </w:r>
      <w:r>
        <w:rPr>
          <w:b/>
          <w:lang/>
        </w:rPr>
        <w:t>2</w:t>
      </w:r>
      <w:r>
        <w:rPr>
          <w:b/>
          <w:lang w:val="sr-Cyrl-BA"/>
        </w:rPr>
        <w:t>3</w:t>
      </w:r>
      <w:r w:rsidRPr="00225859">
        <w:rPr>
          <w:b/>
          <w:lang w:val="sr-Cyrl-BA"/>
        </w:rPr>
        <w:t xml:space="preserve"> – Трошкови </w:t>
      </w:r>
      <w:r>
        <w:rPr>
          <w:b/>
          <w:lang w:val="sr-Cyrl-BA"/>
        </w:rPr>
        <w:t xml:space="preserve">бруто накнада члановима одбора за ревизију, других </w:t>
      </w:r>
    </w:p>
    <w:p w:rsidR="00AE2236" w:rsidRPr="00225859" w:rsidRDefault="0049150E" w:rsidP="00AE2236">
      <w:pPr>
        <w:ind w:firstLine="720"/>
        <w:jc w:val="both"/>
        <w:rPr>
          <w:lang w:val="sr-Cyrl-BA"/>
        </w:rPr>
      </w:pPr>
      <w:r>
        <w:rPr>
          <w:b/>
          <w:lang w:val="sr-Cyrl-BA"/>
        </w:rPr>
        <w:tab/>
      </w:r>
      <w:r w:rsidR="00AE2236">
        <w:rPr>
          <w:b/>
          <w:lang w:val="sr-Cyrl-BA"/>
        </w:rPr>
        <w:t>одбора и комисија</w:t>
      </w:r>
      <w:r w:rsidR="00AE2236" w:rsidRPr="00225859">
        <w:rPr>
          <w:b/>
          <w:lang/>
        </w:rPr>
        <w:t xml:space="preserve"> </w:t>
      </w:r>
      <w:r w:rsidR="005B0CE1">
        <w:rPr>
          <w:b/>
          <w:lang w:val="sr-Cyrl-BA"/>
        </w:rPr>
        <w:t>– 0,41</w:t>
      </w:r>
      <w:r w:rsidR="00AE2236" w:rsidRPr="00225859">
        <w:rPr>
          <w:b/>
          <w:lang w:val="sr-Cyrl-BA"/>
        </w:rPr>
        <w:t>%</w:t>
      </w:r>
    </w:p>
    <w:p w:rsidR="00AE2236" w:rsidRPr="00D41886" w:rsidRDefault="00AE2236" w:rsidP="00DA4ED1">
      <w:pPr>
        <w:ind w:firstLine="720"/>
        <w:jc w:val="both"/>
        <w:rPr>
          <w:sz w:val="8"/>
          <w:szCs w:val="8"/>
          <w:lang w:val="sr-Cyrl-BA"/>
        </w:rPr>
      </w:pPr>
    </w:p>
    <w:p w:rsidR="00AE2236" w:rsidRDefault="00AE2236" w:rsidP="00AE2236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бруто накнада члановима одбора за ревизију и дире</w:t>
      </w:r>
      <w:r w:rsidR="005B0CE1">
        <w:rPr>
          <w:lang w:val="sr-Cyrl-BA"/>
        </w:rPr>
        <w:t xml:space="preserve">ктору одјељења интерне ревизије - </w:t>
      </w:r>
      <w:r>
        <w:rPr>
          <w:lang w:val="sr-Cyrl-BA"/>
        </w:rPr>
        <w:t>четири члана</w:t>
      </w:r>
      <w:r w:rsidR="005B0CE1">
        <w:rPr>
          <w:lang w:val="sr-Cyrl-BA"/>
        </w:rPr>
        <w:t xml:space="preserve"> (</w:t>
      </w:r>
      <w:r w:rsidR="00D41886">
        <w:rPr>
          <w:lang w:val="sr-Cyrl-BA"/>
        </w:rPr>
        <w:t>три члана одбора за ревизију и директор одјељења интерне ревизије</w:t>
      </w:r>
      <w:r w:rsidR="008F5D14">
        <w:rPr>
          <w:lang w:val="sr-Cyrl-BA"/>
        </w:rPr>
        <w:t>), мјесечно износе 2.498,75</w:t>
      </w:r>
      <w:r>
        <w:rPr>
          <w:lang w:val="sr-Cyrl-BA"/>
        </w:rPr>
        <w:t xml:space="preserve"> КМ (нето 1.500,0</w:t>
      </w:r>
      <w:r w:rsidR="008F5D14">
        <w:rPr>
          <w:lang w:val="sr-Cyrl-BA"/>
        </w:rPr>
        <w:t>0 КМ), односно год</w:t>
      </w:r>
      <w:r w:rsidR="0049150E">
        <w:rPr>
          <w:lang w:val="sr-Cyrl-BA"/>
        </w:rPr>
        <w:t>ишње 29.985,00 КМ, те је за 202</w:t>
      </w:r>
      <w:r w:rsidR="005B0CE1">
        <w:rPr>
          <w:lang w:val="sr-Cyrl-BA"/>
        </w:rPr>
        <w:t>5</w:t>
      </w:r>
      <w:r>
        <w:rPr>
          <w:lang w:val="sr-Cyrl-BA"/>
        </w:rPr>
        <w:t>. годину планирано издвајање од 30.000,00 КМ</w:t>
      </w:r>
      <w:r w:rsidR="00D41886">
        <w:rPr>
          <w:lang w:val="sr-Cyrl-BA"/>
        </w:rPr>
        <w:t>.</w:t>
      </w:r>
    </w:p>
    <w:p w:rsidR="00D41886" w:rsidRDefault="00D41886" w:rsidP="00AE2236">
      <w:pPr>
        <w:ind w:firstLine="720"/>
        <w:jc w:val="both"/>
        <w:rPr>
          <w:lang w:val="sr-Cyrl-BA"/>
        </w:rPr>
      </w:pPr>
      <w:r>
        <w:rPr>
          <w:lang w:val="sr-Cyrl-BA"/>
        </w:rPr>
        <w:t>Поред наведеног издвајања за бруто накнаде чланова одбора за ревизију, планирано је издвајање за чланове комисије у износу од</w:t>
      </w:r>
      <w:r w:rsidR="008F5D14">
        <w:rPr>
          <w:lang w:val="sr-Cyrl-BA"/>
        </w:rPr>
        <w:t xml:space="preserve"> 1.000,00 КМ</w:t>
      </w:r>
      <w:r>
        <w:rPr>
          <w:lang w:val="sr-Cyrl-BA"/>
        </w:rPr>
        <w:t>.</w:t>
      </w:r>
    </w:p>
    <w:p w:rsidR="00AE2236" w:rsidRPr="00315169" w:rsidRDefault="00AE2236" w:rsidP="00DA4ED1">
      <w:pPr>
        <w:ind w:firstLine="720"/>
        <w:jc w:val="both"/>
        <w:rPr>
          <w:sz w:val="16"/>
          <w:szCs w:val="16"/>
          <w:lang w:val="sr-Cyrl-BA"/>
        </w:rPr>
      </w:pPr>
    </w:p>
    <w:p w:rsidR="00D41886" w:rsidRPr="00D41886" w:rsidRDefault="00D41886" w:rsidP="00D41886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t>5</w:t>
      </w:r>
      <w:r>
        <w:rPr>
          <w:b/>
          <w:lang/>
        </w:rPr>
        <w:t>2</w:t>
      </w:r>
      <w:r>
        <w:rPr>
          <w:b/>
          <w:lang w:val="sr-Cyrl-BA"/>
        </w:rPr>
        <w:t>9</w:t>
      </w:r>
      <w:r w:rsidRPr="00225859">
        <w:rPr>
          <w:b/>
          <w:lang w:val="sr-Cyrl-BA"/>
        </w:rPr>
        <w:t xml:space="preserve"> – Трошкови </w:t>
      </w:r>
      <w:r>
        <w:rPr>
          <w:b/>
          <w:lang w:val="sr-Cyrl-BA"/>
        </w:rPr>
        <w:t>бру</w:t>
      </w:r>
      <w:r w:rsidR="005B0CE1">
        <w:rPr>
          <w:b/>
          <w:lang w:val="sr-Cyrl-BA"/>
        </w:rPr>
        <w:t>то осталих личних расхода – 8,59</w:t>
      </w:r>
      <w:r>
        <w:rPr>
          <w:b/>
          <w:lang w:val="sr-Cyrl-BA"/>
        </w:rPr>
        <w:t xml:space="preserve">%  </w:t>
      </w:r>
    </w:p>
    <w:p w:rsidR="00D41886" w:rsidRPr="004B4DCE" w:rsidRDefault="00D41886" w:rsidP="00DA4ED1">
      <w:pPr>
        <w:ind w:firstLine="720"/>
        <w:jc w:val="both"/>
        <w:rPr>
          <w:sz w:val="8"/>
          <w:szCs w:val="8"/>
          <w:lang w:val="sr-Cyrl-BA"/>
        </w:rPr>
      </w:pPr>
    </w:p>
    <w:p w:rsidR="00D41886" w:rsidRDefault="00D4188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У оквиру синтетичког конта 529, планирана су издвајања на име накнада трошкова п</w:t>
      </w:r>
      <w:r w:rsidR="000D4E9A">
        <w:rPr>
          <w:lang w:val="sr-Cyrl-BA"/>
        </w:rPr>
        <w:t>р</w:t>
      </w:r>
      <w:r w:rsidR="005B0CE1">
        <w:rPr>
          <w:lang w:val="sr-Cyrl-BA"/>
        </w:rPr>
        <w:t>евоза запосленим у износу од 185</w:t>
      </w:r>
      <w:r>
        <w:rPr>
          <w:lang w:val="sr-Cyrl-BA"/>
        </w:rPr>
        <w:t>.000,00 КМ, осталих накнада трошко</w:t>
      </w:r>
      <w:r w:rsidR="0049150E">
        <w:rPr>
          <w:lang w:val="sr-Cyrl-BA"/>
        </w:rPr>
        <w:t>ва запосленим (Божић, регрес, 8.март и В</w:t>
      </w:r>
      <w:r>
        <w:rPr>
          <w:lang w:val="sr-Cyrl-BA"/>
        </w:rPr>
        <w:t>аскрс</w:t>
      </w:r>
      <w:r w:rsidR="005B0CE1">
        <w:rPr>
          <w:lang w:val="sr-Cyrl-BA"/>
        </w:rPr>
        <w:t>) у износу од 35</w:t>
      </w:r>
      <w:r w:rsidR="0049150E">
        <w:rPr>
          <w:lang w:val="sr-Cyrl-BA"/>
        </w:rPr>
        <w:t>0.000,00 КМ</w:t>
      </w:r>
      <w:r>
        <w:rPr>
          <w:lang w:val="sr-Cyrl-BA"/>
        </w:rPr>
        <w:t xml:space="preserve"> и издвајања за трошков</w:t>
      </w:r>
      <w:r w:rsidR="0049150E">
        <w:rPr>
          <w:lang w:val="sr-Cyrl-BA"/>
        </w:rPr>
        <w:t>е</w:t>
      </w:r>
      <w:r w:rsidR="005B0CE1">
        <w:rPr>
          <w:lang w:val="sr-Cyrl-BA"/>
        </w:rPr>
        <w:t xml:space="preserve"> исхране радника у износу од 115</w:t>
      </w:r>
      <w:r>
        <w:rPr>
          <w:lang w:val="sr-Cyrl-BA"/>
        </w:rPr>
        <w:t>.000,00 КМ.</w:t>
      </w:r>
    </w:p>
    <w:p w:rsidR="00D41886" w:rsidRDefault="00D4188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Сва издвајања у оквиру синтетичког конта 529, планирана су на основу </w:t>
      </w:r>
      <w:r w:rsidR="005B0CE1">
        <w:rPr>
          <w:lang w:val="sr-Cyrl-BA"/>
        </w:rPr>
        <w:t>процјене остварења из 2024</w:t>
      </w:r>
      <w:r w:rsidR="004B4DCE">
        <w:rPr>
          <w:lang w:val="sr-Cyrl-BA"/>
        </w:rPr>
        <w:t xml:space="preserve">. године. </w:t>
      </w:r>
    </w:p>
    <w:p w:rsidR="00D41886" w:rsidRPr="00315169" w:rsidRDefault="00D41886" w:rsidP="00DA4ED1">
      <w:pPr>
        <w:ind w:firstLine="720"/>
        <w:jc w:val="both"/>
        <w:rPr>
          <w:sz w:val="16"/>
          <w:szCs w:val="16"/>
          <w:lang w:val="sr-Cyrl-BA"/>
        </w:rPr>
      </w:pPr>
    </w:p>
    <w:p w:rsidR="004B4DCE" w:rsidRDefault="004B4DCE" w:rsidP="00DA4ED1">
      <w:pPr>
        <w:ind w:firstLine="720"/>
        <w:jc w:val="both"/>
        <w:rPr>
          <w:lang w:val="sr-Cyrl-BA"/>
        </w:rPr>
      </w:pPr>
      <w:r>
        <w:rPr>
          <w:b/>
          <w:lang w:val="sr-Cyrl-BA"/>
        </w:rPr>
        <w:t>532</w:t>
      </w:r>
      <w:r w:rsidRPr="00225859">
        <w:rPr>
          <w:b/>
          <w:lang w:val="sr-Cyrl-BA"/>
        </w:rPr>
        <w:t xml:space="preserve"> – Трошкови </w:t>
      </w:r>
      <w:r w:rsidR="005B0CE1">
        <w:rPr>
          <w:b/>
          <w:lang w:val="sr-Cyrl-BA"/>
        </w:rPr>
        <w:t>услуга одржавања – 0,42</w:t>
      </w:r>
      <w:r>
        <w:rPr>
          <w:b/>
          <w:lang w:val="sr-Cyrl-BA"/>
        </w:rPr>
        <w:t>%</w:t>
      </w:r>
    </w:p>
    <w:p w:rsidR="004B4DCE" w:rsidRPr="007656A6" w:rsidRDefault="004B4DCE" w:rsidP="00DA4ED1">
      <w:pPr>
        <w:ind w:firstLine="720"/>
        <w:jc w:val="both"/>
        <w:rPr>
          <w:sz w:val="8"/>
          <w:szCs w:val="8"/>
          <w:lang w:val="sr-Cyrl-BA"/>
        </w:rPr>
      </w:pPr>
    </w:p>
    <w:p w:rsidR="004B4DCE" w:rsidRDefault="004B4DCE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У оквиру трошкова услуга одржавања </w:t>
      </w:r>
      <w:r w:rsidR="00735497">
        <w:rPr>
          <w:lang w:val="sr-Cyrl-BA"/>
        </w:rPr>
        <w:t>евидентирају се трошкови услуга на текућем одржавању сталних средстава и трошкови услуга на инвестиционом одржавању сталних средстава.</w:t>
      </w:r>
    </w:p>
    <w:p w:rsidR="00735497" w:rsidRDefault="00735497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Трошкови услуга на текућем одржавању сталних средстава планирани су у износу од 30.000,00 КМ, док су у текућој години по основу </w:t>
      </w:r>
      <w:r w:rsidR="000D4E9A">
        <w:rPr>
          <w:lang w:val="sr-Cyrl-BA"/>
        </w:rPr>
        <w:t>п</w:t>
      </w:r>
      <w:r w:rsidR="005B0CE1">
        <w:rPr>
          <w:lang w:val="sr-Cyrl-BA"/>
        </w:rPr>
        <w:t>роцјене остварени у износу од 20</w:t>
      </w:r>
      <w:r>
        <w:rPr>
          <w:lang w:val="sr-Cyrl-BA"/>
        </w:rPr>
        <w:t>.000,00 КМ</w:t>
      </w:r>
      <w:r>
        <w:rPr>
          <w:lang/>
        </w:rPr>
        <w:t xml:space="preserve">. </w:t>
      </w:r>
      <w:r>
        <w:rPr>
          <w:lang w:val="sr-Cyrl-BA"/>
        </w:rPr>
        <w:t xml:space="preserve">Велики трошкови наведених услуга настају због </w:t>
      </w:r>
      <w:r>
        <w:rPr>
          <w:lang w:val="sr-Cyrl-BA"/>
        </w:rPr>
        <w:lastRenderedPageBreak/>
        <w:t>застарјелог возног парка и немо</w:t>
      </w:r>
      <w:r w:rsidR="007656A6">
        <w:rPr>
          <w:lang w:val="sr-Cyrl-BA"/>
        </w:rPr>
        <w:t>гућности запослених механичара</w:t>
      </w:r>
      <w:r>
        <w:rPr>
          <w:lang w:val="sr-Cyrl-BA"/>
        </w:rPr>
        <w:t xml:space="preserve"> да изврше </w:t>
      </w:r>
      <w:r w:rsidR="007656A6">
        <w:rPr>
          <w:lang w:val="sr-Cyrl-BA"/>
        </w:rPr>
        <w:t>специфичне поправке</w:t>
      </w:r>
      <w:r>
        <w:rPr>
          <w:lang w:val="sr-Cyrl-BA"/>
        </w:rPr>
        <w:t xml:space="preserve"> </w:t>
      </w:r>
      <w:r w:rsidR="007656A6">
        <w:rPr>
          <w:lang w:val="sr-Cyrl-BA"/>
        </w:rPr>
        <w:t>на возилима и опреми.</w:t>
      </w:r>
    </w:p>
    <w:p w:rsidR="007656A6" w:rsidRDefault="007656A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услуга на инвестиционом одржавању сталних средстава планирани су</w:t>
      </w:r>
      <w:r w:rsidR="000D4E9A">
        <w:rPr>
          <w:lang w:val="sr-Cyrl-BA"/>
        </w:rPr>
        <w:t xml:space="preserve"> у износу од 2.000,00 КМ</w:t>
      </w:r>
      <w:r>
        <w:rPr>
          <w:lang w:val="sr-Cyrl-BA"/>
        </w:rPr>
        <w:t>.</w:t>
      </w:r>
    </w:p>
    <w:p w:rsidR="001D77B6" w:rsidRPr="00315169" w:rsidRDefault="001D77B6" w:rsidP="007656A6">
      <w:pPr>
        <w:ind w:firstLine="720"/>
        <w:jc w:val="both"/>
        <w:rPr>
          <w:sz w:val="16"/>
          <w:szCs w:val="16"/>
          <w:lang w:val="sr-Cyrl-BA"/>
        </w:rPr>
      </w:pPr>
    </w:p>
    <w:p w:rsidR="007656A6" w:rsidRDefault="007656A6" w:rsidP="007656A6">
      <w:pPr>
        <w:ind w:firstLine="720"/>
        <w:jc w:val="both"/>
        <w:rPr>
          <w:lang w:val="sr-Cyrl-BA"/>
        </w:rPr>
      </w:pPr>
      <w:r>
        <w:rPr>
          <w:b/>
          <w:lang w:val="sr-Cyrl-BA"/>
        </w:rPr>
        <w:t>539</w:t>
      </w:r>
      <w:r w:rsidRPr="00225859">
        <w:rPr>
          <w:b/>
          <w:lang w:val="sr-Cyrl-BA"/>
        </w:rPr>
        <w:t xml:space="preserve"> – Трошкови </w:t>
      </w:r>
      <w:r>
        <w:rPr>
          <w:b/>
          <w:lang w:val="sr-Cyrl-BA"/>
        </w:rPr>
        <w:t xml:space="preserve">осталих услуга – </w:t>
      </w:r>
      <w:r w:rsidR="003D3F43">
        <w:rPr>
          <w:b/>
          <w:lang w:val="sr-Cyrl-BA"/>
        </w:rPr>
        <w:t>17,83</w:t>
      </w:r>
      <w:r>
        <w:rPr>
          <w:b/>
          <w:lang w:val="sr-Cyrl-BA"/>
        </w:rPr>
        <w:t>%</w:t>
      </w:r>
    </w:p>
    <w:p w:rsidR="007656A6" w:rsidRPr="009A2542" w:rsidRDefault="007656A6" w:rsidP="00DA4ED1">
      <w:pPr>
        <w:ind w:firstLine="720"/>
        <w:jc w:val="both"/>
        <w:rPr>
          <w:sz w:val="8"/>
          <w:szCs w:val="8"/>
          <w:lang w:val="sr-Cyrl-BA"/>
        </w:rPr>
      </w:pPr>
    </w:p>
    <w:p w:rsidR="004B4DCE" w:rsidRDefault="007656A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осталих услуга, имају значајно учешће у укупним расходима, првенствено због високих трошкова депоновања чврстог комуналног отпада, који у укуп</w:t>
      </w:r>
      <w:r w:rsidR="003D3F43">
        <w:rPr>
          <w:lang w:val="sr-Cyrl-BA"/>
        </w:rPr>
        <w:t>ним расходима учествују са 17,83</w:t>
      </w:r>
      <w:r>
        <w:rPr>
          <w:lang w:val="sr-Cyrl-BA"/>
        </w:rPr>
        <w:t>%.</w:t>
      </w:r>
    </w:p>
    <w:p w:rsidR="007656A6" w:rsidRDefault="007656A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Трошкови депоновања чврстог комуналног отпада планирани су на основу задржавања п</w:t>
      </w:r>
      <w:r w:rsidR="003D3F43">
        <w:rPr>
          <w:lang w:val="sr-Cyrl-BA"/>
        </w:rPr>
        <w:t xml:space="preserve">остојеће цијене депоновања уз </w:t>
      </w:r>
      <w:r>
        <w:rPr>
          <w:lang w:val="sr-Cyrl-BA"/>
        </w:rPr>
        <w:t xml:space="preserve">знатно повећање количина прикупљеног чврстог комуналног отпада, а на основу планираног повећања броја корисника. Значајне уштеде на трошковима </w:t>
      </w:r>
      <w:r w:rsidR="009A2542">
        <w:rPr>
          <w:lang w:val="sr-Cyrl-BA"/>
        </w:rPr>
        <w:t xml:space="preserve">депоновања чврстог комуналног отпада, могу се постићи израдом зелених острва, чиме би се омогућило раздвајање отпада на мјесту настанка. Таквим системом управљања отпадом смањиле би се количине депонованог отпада а повећао приход од продаје амбалажног отпада. </w:t>
      </w:r>
    </w:p>
    <w:p w:rsidR="00524146" w:rsidRDefault="009A2542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У оквиру трошкова оста</w:t>
      </w:r>
      <w:r w:rsidR="00524146">
        <w:rPr>
          <w:lang w:val="sr-Cyrl-BA"/>
        </w:rPr>
        <w:t>лих услуга</w:t>
      </w:r>
      <w:r w:rsidR="00524146">
        <w:rPr>
          <w:lang/>
        </w:rPr>
        <w:t xml:space="preserve"> </w:t>
      </w:r>
      <w:r w:rsidR="00524146">
        <w:rPr>
          <w:lang w:val="sr-Cyrl-BA"/>
        </w:rPr>
        <w:t xml:space="preserve">сви остали трошкови су планирани </w:t>
      </w:r>
      <w:r w:rsidR="001D77B6">
        <w:rPr>
          <w:lang w:val="sr-Cyrl-BA"/>
        </w:rPr>
        <w:t>на</w:t>
      </w:r>
      <w:r w:rsidR="00B016FF">
        <w:rPr>
          <w:lang w:val="sr-Cyrl-BA"/>
        </w:rPr>
        <w:t xml:space="preserve"> основу остварења</w:t>
      </w:r>
      <w:r w:rsidR="00524146">
        <w:rPr>
          <w:lang w:val="sr-Cyrl-BA"/>
        </w:rPr>
        <w:t xml:space="preserve"> из 202</w:t>
      </w:r>
      <w:r w:rsidR="003D3F43">
        <w:rPr>
          <w:lang w:val="sr-Cyrl-BA"/>
        </w:rPr>
        <w:t>4</w:t>
      </w:r>
      <w:r w:rsidR="00524146">
        <w:rPr>
          <w:lang w:val="sr-Cyrl-BA"/>
        </w:rPr>
        <w:t>. године.</w:t>
      </w:r>
    </w:p>
    <w:p w:rsidR="00524146" w:rsidRPr="00315169" w:rsidRDefault="00524146" w:rsidP="00DA4ED1">
      <w:pPr>
        <w:ind w:firstLine="720"/>
        <w:jc w:val="both"/>
        <w:rPr>
          <w:sz w:val="16"/>
          <w:szCs w:val="16"/>
          <w:lang w:val="sr-Cyrl-BA"/>
        </w:rPr>
      </w:pPr>
    </w:p>
    <w:p w:rsidR="00524146" w:rsidRDefault="00524146" w:rsidP="00524146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 </w:t>
      </w:r>
      <w:r>
        <w:rPr>
          <w:b/>
          <w:lang w:val="sr-Cyrl-BA"/>
        </w:rPr>
        <w:t>540</w:t>
      </w:r>
      <w:r w:rsidRPr="00225859">
        <w:rPr>
          <w:b/>
          <w:lang w:val="sr-Cyrl-BA"/>
        </w:rPr>
        <w:t xml:space="preserve"> – Трошкови </w:t>
      </w:r>
      <w:r w:rsidR="003D3F43">
        <w:rPr>
          <w:b/>
          <w:lang w:val="sr-Cyrl-BA"/>
        </w:rPr>
        <w:t>амортизације – 3,83</w:t>
      </w:r>
      <w:r>
        <w:rPr>
          <w:b/>
          <w:lang w:val="sr-Cyrl-BA"/>
        </w:rPr>
        <w:t>%</w:t>
      </w:r>
    </w:p>
    <w:p w:rsidR="009A2542" w:rsidRPr="00524146" w:rsidRDefault="009A2542" w:rsidP="00DA4ED1">
      <w:pPr>
        <w:ind w:firstLine="720"/>
        <w:jc w:val="both"/>
        <w:rPr>
          <w:sz w:val="8"/>
          <w:szCs w:val="8"/>
          <w:lang w:val="sr-Cyrl-BA"/>
        </w:rPr>
      </w:pPr>
    </w:p>
    <w:p w:rsidR="007656A6" w:rsidRDefault="00524146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Т</w:t>
      </w:r>
      <w:r>
        <w:rPr>
          <w:lang w:val="sr-Latn-CS"/>
        </w:rPr>
        <w:t>рошкови</w:t>
      </w:r>
      <w:r w:rsidRPr="00BE7967">
        <w:rPr>
          <w:lang w:val="sr-Latn-CS"/>
        </w:rPr>
        <w:t xml:space="preserve"> </w:t>
      </w:r>
      <w:r>
        <w:rPr>
          <w:lang w:val="sr-Latn-CS"/>
        </w:rPr>
        <w:t>амортизације</w:t>
      </w:r>
      <w:r w:rsidRPr="00BE7967">
        <w:rPr>
          <w:lang w:val="sr-Latn-CS"/>
        </w:rPr>
        <w:t xml:space="preserve">, </w:t>
      </w:r>
      <w:r>
        <w:rPr>
          <w:lang w:val="sr-Latn-CS"/>
        </w:rPr>
        <w:t>који</w:t>
      </w:r>
      <w:r w:rsidRPr="00BE7967">
        <w:rPr>
          <w:lang w:val="sr-Latn-CS"/>
        </w:rPr>
        <w:t xml:space="preserve"> </w:t>
      </w:r>
      <w:r>
        <w:rPr>
          <w:lang w:val="sr-Latn-CS"/>
        </w:rPr>
        <w:t>представљају</w:t>
      </w:r>
      <w:r w:rsidR="00B016FF">
        <w:rPr>
          <w:lang w:val="sr-Cyrl-BA"/>
        </w:rPr>
        <w:t xml:space="preserve"> </w:t>
      </w:r>
      <w:r>
        <w:rPr>
          <w:lang w:val="sr-Latn-CS"/>
        </w:rPr>
        <w:t>значајну</w:t>
      </w:r>
      <w:r w:rsidRPr="00BE7967">
        <w:rPr>
          <w:lang w:val="sr-Latn-CS"/>
        </w:rPr>
        <w:t xml:space="preserve"> </w:t>
      </w:r>
      <w:r>
        <w:rPr>
          <w:lang w:val="sr-Latn-CS"/>
        </w:rPr>
        <w:t>ставку</w:t>
      </w:r>
      <w:r w:rsidRPr="00BE7967">
        <w:rPr>
          <w:lang w:val="sr-Latn-CS"/>
        </w:rPr>
        <w:t xml:space="preserve"> </w:t>
      </w:r>
      <w:r>
        <w:rPr>
          <w:lang w:val="sr-Latn-CS"/>
        </w:rPr>
        <w:t>у</w:t>
      </w:r>
      <w:r w:rsidRPr="00BE7967">
        <w:rPr>
          <w:lang w:val="sr-Latn-CS"/>
        </w:rPr>
        <w:t xml:space="preserve"> </w:t>
      </w:r>
      <w:r>
        <w:rPr>
          <w:lang w:val="sr-Latn-CS"/>
        </w:rPr>
        <w:t>укупним</w:t>
      </w:r>
      <w:r w:rsidRPr="00BE7967">
        <w:rPr>
          <w:lang w:val="sr-Latn-CS"/>
        </w:rPr>
        <w:t xml:space="preserve"> </w:t>
      </w:r>
      <w:r>
        <w:rPr>
          <w:lang w:val="sr-Latn-CS"/>
        </w:rPr>
        <w:t>расходима</w:t>
      </w:r>
      <w:r>
        <w:rPr>
          <w:lang w:val="sr-Cyrl-BA"/>
        </w:rPr>
        <w:t>,</w:t>
      </w:r>
      <w:r w:rsidRPr="00BE7967">
        <w:rPr>
          <w:lang w:val="sr-Latn-CS"/>
        </w:rPr>
        <w:t xml:space="preserve"> </w:t>
      </w:r>
      <w:r>
        <w:rPr>
          <w:lang w:val="sr-Latn-CS"/>
        </w:rPr>
        <w:t>првенствено због велике количине опреме</w:t>
      </w:r>
      <w:r w:rsidRPr="00BE7967">
        <w:rPr>
          <w:lang w:val="sr-Latn-CS"/>
        </w:rPr>
        <w:t xml:space="preserve"> </w:t>
      </w:r>
      <w:r>
        <w:rPr>
          <w:lang w:val="sr-Latn-CS"/>
        </w:rPr>
        <w:t>која</w:t>
      </w:r>
      <w:r w:rsidRPr="00BE7967">
        <w:rPr>
          <w:lang w:val="sr-Latn-CS"/>
        </w:rPr>
        <w:t xml:space="preserve"> </w:t>
      </w:r>
      <w:r>
        <w:rPr>
          <w:lang w:val="sr-Latn-CS"/>
        </w:rPr>
        <w:t>је</w:t>
      </w:r>
      <w:r w:rsidRPr="00BE7967">
        <w:rPr>
          <w:lang w:val="sr-Latn-CS"/>
        </w:rPr>
        <w:t xml:space="preserve"> </w:t>
      </w:r>
      <w:r>
        <w:rPr>
          <w:lang w:val="sr-Latn-CS"/>
        </w:rPr>
        <w:t>неопходна</w:t>
      </w:r>
      <w:r w:rsidRPr="00BE7967">
        <w:rPr>
          <w:lang w:val="sr-Latn-CS"/>
        </w:rPr>
        <w:t xml:space="preserve"> </w:t>
      </w:r>
      <w:r>
        <w:rPr>
          <w:lang w:val="sr-Latn-CS"/>
        </w:rPr>
        <w:t>за</w:t>
      </w:r>
      <w:r w:rsidRPr="00BE7967">
        <w:rPr>
          <w:lang w:val="sr-Latn-CS"/>
        </w:rPr>
        <w:t xml:space="preserve"> </w:t>
      </w:r>
      <w:r>
        <w:rPr>
          <w:lang w:val="sr-Latn-CS"/>
        </w:rPr>
        <w:t>пружање</w:t>
      </w:r>
      <w:r w:rsidRPr="00BE7967">
        <w:rPr>
          <w:lang w:val="sr-Latn-CS"/>
        </w:rPr>
        <w:t xml:space="preserve"> </w:t>
      </w:r>
      <w:r>
        <w:rPr>
          <w:lang w:val="sr-Latn-CS"/>
        </w:rPr>
        <w:t>услуга</w:t>
      </w:r>
      <w:r w:rsidRPr="00BE7967">
        <w:rPr>
          <w:lang w:val="sr-Latn-CS"/>
        </w:rPr>
        <w:t xml:space="preserve"> </w:t>
      </w:r>
      <w:r>
        <w:rPr>
          <w:lang w:val="sr-Latn-CS"/>
        </w:rPr>
        <w:t>прикупљања и одвожења отпада, за 202</w:t>
      </w:r>
      <w:r w:rsidR="003D3F43">
        <w:rPr>
          <w:lang w:val="sr-Cyrl-BA"/>
        </w:rPr>
        <w:t>5</w:t>
      </w:r>
      <w:r w:rsidRPr="00BE7967">
        <w:rPr>
          <w:lang w:val="sr-Latn-CS"/>
        </w:rPr>
        <w:t>.</w:t>
      </w:r>
      <w:r>
        <w:rPr>
          <w:lang w:val="sr-Latn-CS"/>
        </w:rPr>
        <w:t xml:space="preserve"> годину планирани </w:t>
      </w:r>
      <w:r w:rsidR="001D77B6">
        <w:rPr>
          <w:lang w:val="sr-Cyrl-BA"/>
        </w:rPr>
        <w:t xml:space="preserve">су </w:t>
      </w:r>
      <w:r w:rsidR="003D3F43">
        <w:rPr>
          <w:lang w:val="sr-Latn-CS"/>
        </w:rPr>
        <w:t xml:space="preserve">у износу од </w:t>
      </w:r>
      <w:r w:rsidR="003D3F43">
        <w:rPr>
          <w:lang w:val="sr-Cyrl-BA"/>
        </w:rPr>
        <w:t>29</w:t>
      </w:r>
      <w:r>
        <w:rPr>
          <w:lang w:val="sr-Latn-CS"/>
        </w:rPr>
        <w:t>0.000,00 КМ</w:t>
      </w:r>
      <w:r w:rsidR="009B6974">
        <w:rPr>
          <w:lang w:val="sr-Cyrl-BA"/>
        </w:rPr>
        <w:t>. Истеком 202</w:t>
      </w:r>
      <w:r w:rsidR="003D3F43">
        <w:rPr>
          <w:lang w:val="sr-Cyrl-BA"/>
        </w:rPr>
        <w:t>4</w:t>
      </w:r>
      <w:r>
        <w:rPr>
          <w:lang w:val="sr-Cyrl-BA"/>
        </w:rPr>
        <w:t>. године, значајан број опреме</w:t>
      </w:r>
      <w:r w:rsidR="00EF0731">
        <w:rPr>
          <w:lang w:val="sr-Cyrl-BA"/>
        </w:rPr>
        <w:t xml:space="preserve"> која се и даље користи</w:t>
      </w:r>
      <w:r>
        <w:rPr>
          <w:lang w:val="sr-Cyrl-BA"/>
        </w:rPr>
        <w:t xml:space="preserve"> амортизован је у 100% износу, те је у току 202</w:t>
      </w:r>
      <w:r w:rsidR="003D3F43">
        <w:rPr>
          <w:lang w:val="sr-Cyrl-BA"/>
        </w:rPr>
        <w:t>5</w:t>
      </w:r>
      <w:r>
        <w:rPr>
          <w:lang w:val="sr-Cyrl-BA"/>
        </w:rPr>
        <w:t xml:space="preserve">. године неопходно покренути процедуру процјене </w:t>
      </w:r>
      <w:r w:rsidR="00EF0731">
        <w:rPr>
          <w:lang w:val="sr-Cyrl-BA"/>
        </w:rPr>
        <w:t xml:space="preserve">економског вијека трајања и </w:t>
      </w:r>
      <w:r w:rsidR="003D3F43">
        <w:rPr>
          <w:lang w:val="sr-Cyrl-BA"/>
        </w:rPr>
        <w:t xml:space="preserve">утврђивања </w:t>
      </w:r>
      <w:r w:rsidR="00EF0731">
        <w:rPr>
          <w:lang w:val="sr-Cyrl-BA"/>
        </w:rPr>
        <w:t>стварне вриједности опреме и осталих сталних средстава, како би се финансијски извјештаји за 202</w:t>
      </w:r>
      <w:r w:rsidR="003D3F43">
        <w:rPr>
          <w:lang w:val="sr-Cyrl-BA"/>
        </w:rPr>
        <w:t>5</w:t>
      </w:r>
      <w:r w:rsidR="00EF0731">
        <w:rPr>
          <w:lang w:val="sr-Cyrl-BA"/>
        </w:rPr>
        <w:t>. годину израдили и презентовали у складу са важећим прописима и стандардима.</w:t>
      </w:r>
    </w:p>
    <w:p w:rsidR="001D77B6" w:rsidRDefault="001D77B6" w:rsidP="00DA4ED1">
      <w:pPr>
        <w:ind w:firstLine="720"/>
        <w:jc w:val="both"/>
        <w:rPr>
          <w:lang/>
        </w:rPr>
      </w:pPr>
      <w:r>
        <w:rPr>
          <w:lang w:val="sr-Cyrl-BA"/>
        </w:rPr>
        <w:t>Процјена остваре</w:t>
      </w:r>
      <w:r w:rsidR="00947620">
        <w:rPr>
          <w:lang w:val="sr-Cyrl-BA"/>
        </w:rPr>
        <w:t>ња трошкова амортизације за 2024. годину износи 275</w:t>
      </w:r>
      <w:r>
        <w:rPr>
          <w:lang w:val="sr-Cyrl-BA"/>
        </w:rPr>
        <w:t>.000,00 КМ, а</w:t>
      </w:r>
      <w:r w:rsidR="00947620">
        <w:rPr>
          <w:lang w:val="sr-Cyrl-BA"/>
        </w:rPr>
        <w:t xml:space="preserve"> планом је износ увећан за 5,45%, јер је у 2025</w:t>
      </w:r>
      <w:r>
        <w:rPr>
          <w:lang w:val="sr-Cyrl-BA"/>
        </w:rPr>
        <w:t>. години планирана набавка неопходних специјалних комуналних возила.</w:t>
      </w:r>
    </w:p>
    <w:p w:rsidR="00EF0731" w:rsidRPr="00315169" w:rsidRDefault="00EF0731" w:rsidP="00DA4ED1">
      <w:pPr>
        <w:ind w:firstLine="720"/>
        <w:jc w:val="both"/>
        <w:rPr>
          <w:sz w:val="16"/>
          <w:szCs w:val="16"/>
          <w:lang/>
        </w:rPr>
      </w:pPr>
    </w:p>
    <w:p w:rsidR="00EF0731" w:rsidRPr="00EF0731" w:rsidRDefault="00EF0731" w:rsidP="00DA4ED1">
      <w:pPr>
        <w:ind w:firstLine="720"/>
        <w:jc w:val="both"/>
        <w:rPr>
          <w:lang/>
        </w:rPr>
      </w:pPr>
      <w:r>
        <w:rPr>
          <w:b/>
          <w:lang w:val="sr-Cyrl-BA"/>
        </w:rPr>
        <w:t>5</w:t>
      </w:r>
      <w:r>
        <w:rPr>
          <w:b/>
          <w:lang/>
        </w:rPr>
        <w:t>5</w:t>
      </w:r>
      <w:r>
        <w:rPr>
          <w:b/>
          <w:lang w:val="sr-Cyrl-BA"/>
        </w:rPr>
        <w:t>0</w:t>
      </w:r>
      <w:r w:rsidRPr="00225859">
        <w:rPr>
          <w:b/>
          <w:lang w:val="sr-Cyrl-BA"/>
        </w:rPr>
        <w:t xml:space="preserve"> – Трошкови </w:t>
      </w:r>
      <w:r w:rsidR="009B6974">
        <w:rPr>
          <w:b/>
          <w:lang w:val="sr-Cyrl-BA"/>
        </w:rPr>
        <w:t>остал</w:t>
      </w:r>
      <w:r>
        <w:rPr>
          <w:b/>
          <w:lang w:val="sr-Cyrl-BA"/>
        </w:rPr>
        <w:t xml:space="preserve">их услуга – </w:t>
      </w:r>
      <w:r w:rsidR="00947620">
        <w:rPr>
          <w:b/>
          <w:lang w:val="sr-Cyrl-BA"/>
        </w:rPr>
        <w:t>0,78</w:t>
      </w:r>
      <w:r>
        <w:rPr>
          <w:b/>
          <w:lang w:val="sr-Cyrl-BA"/>
        </w:rPr>
        <w:t>%</w:t>
      </w:r>
    </w:p>
    <w:p w:rsidR="00524146" w:rsidRPr="00C04385" w:rsidRDefault="00524146" w:rsidP="00DA4ED1">
      <w:pPr>
        <w:ind w:firstLine="720"/>
        <w:jc w:val="both"/>
        <w:rPr>
          <w:sz w:val="8"/>
          <w:szCs w:val="8"/>
          <w:lang w:val="sr-Cyrl-BA"/>
        </w:rPr>
      </w:pPr>
    </w:p>
    <w:p w:rsidR="00CC547E" w:rsidRDefault="009B6974" w:rsidP="00DA4ED1">
      <w:pPr>
        <w:ind w:firstLine="720"/>
        <w:jc w:val="both"/>
        <w:rPr>
          <w:lang w:val="sr-Cyrl-BA"/>
        </w:rPr>
      </w:pPr>
      <w:r>
        <w:rPr>
          <w:lang w:val="sr-Cyrl-BA"/>
        </w:rPr>
        <w:t>У оквиру трошкова остал</w:t>
      </w:r>
      <w:r w:rsidR="00CC547E">
        <w:rPr>
          <w:lang w:val="sr-Cyrl-BA"/>
        </w:rPr>
        <w:t>их услуга, који у уку</w:t>
      </w:r>
      <w:r w:rsidR="00947620">
        <w:rPr>
          <w:lang w:val="sr-Cyrl-BA"/>
        </w:rPr>
        <w:t>пним расходима учествују са 0,78</w:t>
      </w:r>
      <w:r w:rsidR="00CC547E">
        <w:rPr>
          <w:lang w:val="sr-Cyrl-BA"/>
        </w:rPr>
        <w:t>%, планирани су сљедећи трошкови:</w:t>
      </w:r>
    </w:p>
    <w:p w:rsidR="00CC547E" w:rsidRDefault="00CC547E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 w:rsidRPr="00C72F20">
        <w:rPr>
          <w:lang w:val="sr-Cyrl-BA"/>
        </w:rPr>
        <w:t>трошкови</w:t>
      </w:r>
      <w:r w:rsidRPr="00C72F20">
        <w:rPr>
          <w:szCs w:val="24"/>
          <w:lang w:val="sr-Cyrl-BA"/>
        </w:rPr>
        <w:t xml:space="preserve"> ревизије финансијских извјештаја</w:t>
      </w:r>
      <w:r>
        <w:rPr>
          <w:szCs w:val="24"/>
          <w:u w:val="none"/>
          <w:lang w:val="sr-Cyrl-BA"/>
        </w:rPr>
        <w:t xml:space="preserve"> у износу од 5.000,00 КМ, који су </w:t>
      </w:r>
      <w:r w:rsidR="00C72F20">
        <w:rPr>
          <w:szCs w:val="24"/>
          <w:u w:val="none"/>
          <w:lang w:val="sr-Cyrl-BA"/>
        </w:rPr>
        <w:t xml:space="preserve">на </w:t>
      </w:r>
      <w:r>
        <w:rPr>
          <w:szCs w:val="24"/>
          <w:u w:val="none"/>
          <w:lang w:val="sr-Cyrl-BA"/>
        </w:rPr>
        <w:t>нивоу остварења 202</w:t>
      </w:r>
      <w:r w:rsidR="00947620">
        <w:rPr>
          <w:szCs w:val="24"/>
          <w:u w:val="none"/>
          <w:lang w:val="sr-Cyrl-BA"/>
        </w:rPr>
        <w:t>4</w:t>
      </w:r>
      <w:r>
        <w:rPr>
          <w:szCs w:val="24"/>
          <w:u w:val="none"/>
          <w:lang w:val="sr-Cyrl-BA"/>
        </w:rPr>
        <w:t>. године,</w:t>
      </w:r>
    </w:p>
    <w:p w:rsidR="00C72F20" w:rsidRDefault="00C72F20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 w:rsidRPr="00C72F20">
        <w:rPr>
          <w:szCs w:val="24"/>
          <w:lang w:val="sr-Cyrl-BA"/>
        </w:rPr>
        <w:t>трошкови адвокатских услуга</w:t>
      </w:r>
      <w:r>
        <w:rPr>
          <w:szCs w:val="24"/>
          <w:u w:val="none"/>
          <w:lang w:val="sr-Cyrl-BA"/>
        </w:rPr>
        <w:t xml:space="preserve"> у из</w:t>
      </w:r>
      <w:r w:rsidR="00C03013">
        <w:rPr>
          <w:szCs w:val="24"/>
          <w:u w:val="none"/>
          <w:lang w:val="sr-Cyrl-BA"/>
        </w:rPr>
        <w:t>носу од 14</w:t>
      </w:r>
      <w:r>
        <w:rPr>
          <w:szCs w:val="24"/>
          <w:u w:val="none"/>
          <w:lang w:val="sr-Cyrl-BA"/>
        </w:rPr>
        <w:t xml:space="preserve">.000,00 КМ, који су планирани </w:t>
      </w:r>
      <w:r w:rsidR="00947620">
        <w:rPr>
          <w:szCs w:val="24"/>
          <w:u w:val="none"/>
          <w:lang w:val="sr-Cyrl-BA"/>
        </w:rPr>
        <w:t>већи од</w:t>
      </w:r>
      <w:r>
        <w:rPr>
          <w:szCs w:val="24"/>
          <w:u w:val="none"/>
          <w:lang w:val="sr-Cyrl-BA"/>
        </w:rPr>
        <w:t xml:space="preserve"> издвајања из 202</w:t>
      </w:r>
      <w:r w:rsidR="00947620">
        <w:rPr>
          <w:szCs w:val="24"/>
          <w:u w:val="none"/>
          <w:lang w:val="sr-Cyrl-BA"/>
        </w:rPr>
        <w:t>4</w:t>
      </w:r>
      <w:r>
        <w:rPr>
          <w:szCs w:val="24"/>
          <w:u w:val="none"/>
          <w:lang w:val="sr-Cyrl-BA"/>
        </w:rPr>
        <w:t>. године. Трошкове адвокатских услуга тешко је планирати, јер постоји велики број непознатих фактора који утичу на висину наведених трошкова,</w:t>
      </w:r>
    </w:p>
    <w:p w:rsidR="00C72F20" w:rsidRDefault="00C72F20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>
        <w:rPr>
          <w:szCs w:val="24"/>
          <w:lang w:val="sr-Cyrl-BA"/>
        </w:rPr>
        <w:t>трошкови здравствених услуга</w:t>
      </w:r>
      <w:r w:rsidR="00C03013">
        <w:rPr>
          <w:szCs w:val="24"/>
          <w:u w:val="none"/>
          <w:lang w:val="sr-Cyrl-BA"/>
        </w:rPr>
        <w:t xml:space="preserve"> у износу од 6</w:t>
      </w:r>
      <w:r>
        <w:rPr>
          <w:szCs w:val="24"/>
          <w:u w:val="none"/>
          <w:lang w:val="sr-Cyrl-BA"/>
        </w:rPr>
        <w:t>.000,00 КМ,</w:t>
      </w:r>
    </w:p>
    <w:p w:rsidR="00C72F20" w:rsidRDefault="00C72F20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>
        <w:rPr>
          <w:szCs w:val="24"/>
          <w:lang w:val="sr-Cyrl-BA"/>
        </w:rPr>
        <w:t>трошкови стручног образовања запослених</w:t>
      </w:r>
      <w:r>
        <w:rPr>
          <w:szCs w:val="24"/>
          <w:u w:val="none"/>
          <w:lang w:val="sr-Cyrl-BA"/>
        </w:rPr>
        <w:t xml:space="preserve"> у износу од 2.000,00 КМ, који су </w:t>
      </w:r>
      <w:r w:rsidR="00DC1024">
        <w:rPr>
          <w:szCs w:val="24"/>
          <w:u w:val="none"/>
          <w:lang w:val="sr-Cyrl-BA"/>
        </w:rPr>
        <w:t>план</w:t>
      </w:r>
      <w:r w:rsidR="00947620">
        <w:rPr>
          <w:szCs w:val="24"/>
          <w:u w:val="none"/>
          <w:lang w:val="sr-Cyrl-BA"/>
        </w:rPr>
        <w:t>ирани за обуку запослених у 2025</w:t>
      </w:r>
      <w:r w:rsidR="00DC1024">
        <w:rPr>
          <w:szCs w:val="24"/>
          <w:u w:val="none"/>
          <w:lang w:val="sr-Cyrl-BA"/>
        </w:rPr>
        <w:t>. години</w:t>
      </w:r>
      <w:r>
        <w:rPr>
          <w:szCs w:val="24"/>
          <w:u w:val="none"/>
          <w:lang w:val="sr-Cyrl-BA"/>
        </w:rPr>
        <w:t xml:space="preserve">, </w:t>
      </w:r>
    </w:p>
    <w:p w:rsidR="00C03013" w:rsidRPr="00C72F20" w:rsidRDefault="00C03013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>
        <w:rPr>
          <w:szCs w:val="24"/>
          <w:lang w:val="sr-Cyrl-BA"/>
        </w:rPr>
        <w:lastRenderedPageBreak/>
        <w:t xml:space="preserve">трошкови стручног усавршавања </w:t>
      </w:r>
      <w:r w:rsidRPr="00C03013">
        <w:rPr>
          <w:szCs w:val="24"/>
          <w:lang w:val="sr-Cyrl-BA"/>
        </w:rPr>
        <w:t>запослених</w:t>
      </w:r>
      <w:r>
        <w:rPr>
          <w:szCs w:val="24"/>
          <w:u w:val="none"/>
          <w:lang w:val="sr-Cyrl-BA"/>
        </w:rPr>
        <w:t xml:space="preserve"> </w:t>
      </w:r>
      <w:r w:rsidRPr="00C03013">
        <w:rPr>
          <w:szCs w:val="24"/>
          <w:u w:val="none"/>
          <w:lang w:val="sr-Cyrl-BA"/>
        </w:rPr>
        <w:t>у</w:t>
      </w:r>
      <w:r w:rsidR="00947620">
        <w:rPr>
          <w:szCs w:val="24"/>
          <w:u w:val="none"/>
          <w:lang w:val="sr-Cyrl-BA"/>
        </w:rPr>
        <w:t xml:space="preserve"> износу од 6</w:t>
      </w:r>
      <w:r>
        <w:rPr>
          <w:szCs w:val="24"/>
          <w:u w:val="none"/>
          <w:lang w:val="sr-Cyrl-BA"/>
        </w:rPr>
        <w:t>.000,00 КМ, који су планирани за неопходно усавршавање запослених путем</w:t>
      </w:r>
      <w:r w:rsidR="00947620">
        <w:rPr>
          <w:szCs w:val="24"/>
          <w:u w:val="none"/>
          <w:lang w:val="sr-Cyrl-BA"/>
        </w:rPr>
        <w:t xml:space="preserve"> семинара и вебинара у току 2025</w:t>
      </w:r>
      <w:r>
        <w:rPr>
          <w:szCs w:val="24"/>
          <w:u w:val="none"/>
          <w:lang w:val="sr-Cyrl-BA"/>
        </w:rPr>
        <w:t>. године,</w:t>
      </w:r>
    </w:p>
    <w:p w:rsidR="00C04385" w:rsidRDefault="00C72F20" w:rsidP="00CC547E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>
        <w:rPr>
          <w:szCs w:val="24"/>
          <w:lang w:val="sr-Cyrl-BA"/>
        </w:rPr>
        <w:t>трошкови измјена на постојећим програмима</w:t>
      </w:r>
      <w:r w:rsidR="00DC1024">
        <w:rPr>
          <w:szCs w:val="24"/>
          <w:u w:val="none"/>
          <w:lang w:val="sr-Cyrl-BA"/>
        </w:rPr>
        <w:t xml:space="preserve"> у износу од 6.</w:t>
      </w:r>
      <w:r>
        <w:rPr>
          <w:szCs w:val="24"/>
          <w:u w:val="none"/>
          <w:lang w:val="sr-Cyrl-BA"/>
        </w:rPr>
        <w:t>000,00 КМ, а који се односе на одржавање књиговодствених програма</w:t>
      </w:r>
      <w:r w:rsidR="00C04385">
        <w:rPr>
          <w:szCs w:val="24"/>
          <w:u w:val="none"/>
          <w:lang w:val="sr-Cyrl-BA"/>
        </w:rPr>
        <w:t xml:space="preserve"> </w:t>
      </w:r>
      <w:r>
        <w:rPr>
          <w:szCs w:val="24"/>
          <w:u w:val="none"/>
          <w:lang w:val="sr-Cyrl-BA"/>
        </w:rPr>
        <w:t xml:space="preserve">и евентуалне измјене на </w:t>
      </w:r>
      <w:r w:rsidR="00C04385">
        <w:rPr>
          <w:szCs w:val="24"/>
          <w:u w:val="none"/>
          <w:lang w:val="sr-Cyrl-BA"/>
        </w:rPr>
        <w:t>постојећим програмима и</w:t>
      </w:r>
    </w:p>
    <w:p w:rsidR="00947620" w:rsidRDefault="00C04385" w:rsidP="00C03013">
      <w:pPr>
        <w:pStyle w:val="ListParagraph"/>
        <w:numPr>
          <w:ilvl w:val="0"/>
          <w:numId w:val="24"/>
        </w:numPr>
        <w:jc w:val="both"/>
        <w:rPr>
          <w:szCs w:val="24"/>
          <w:u w:val="none"/>
          <w:lang w:val="sr-Cyrl-BA"/>
        </w:rPr>
      </w:pPr>
      <w:r>
        <w:rPr>
          <w:szCs w:val="24"/>
          <w:lang w:val="sr-Cyrl-BA"/>
        </w:rPr>
        <w:t>трошкови осталих непроизводних услуга</w:t>
      </w:r>
      <w:r w:rsidR="00947620">
        <w:rPr>
          <w:szCs w:val="24"/>
          <w:u w:val="none"/>
          <w:lang w:val="sr-Cyrl-BA"/>
        </w:rPr>
        <w:t xml:space="preserve"> у износу од 20</w:t>
      </w:r>
      <w:r>
        <w:rPr>
          <w:szCs w:val="24"/>
          <w:u w:val="none"/>
          <w:lang w:val="sr-Cyrl-BA"/>
        </w:rPr>
        <w:t xml:space="preserve">.000,00 КМ, који </w:t>
      </w:r>
      <w:r w:rsidR="00947620">
        <w:rPr>
          <w:szCs w:val="24"/>
          <w:u w:val="none"/>
          <w:lang w:val="sr-Cyrl-BA"/>
        </w:rPr>
        <w:t xml:space="preserve">су </w:t>
      </w:r>
      <w:r w:rsidR="00DC1024">
        <w:rPr>
          <w:szCs w:val="24"/>
          <w:u w:val="none"/>
          <w:lang w:val="sr-Cyrl-BA"/>
        </w:rPr>
        <w:t xml:space="preserve">знатно увећани од </w:t>
      </w:r>
      <w:r>
        <w:rPr>
          <w:szCs w:val="24"/>
          <w:u w:val="none"/>
          <w:lang w:val="sr-Cyrl-BA"/>
        </w:rPr>
        <w:t xml:space="preserve">остварења </w:t>
      </w:r>
      <w:r w:rsidR="00DC1024">
        <w:rPr>
          <w:szCs w:val="24"/>
          <w:u w:val="none"/>
          <w:lang w:val="sr-Cyrl-BA"/>
        </w:rPr>
        <w:t xml:space="preserve">из </w:t>
      </w:r>
      <w:r>
        <w:rPr>
          <w:szCs w:val="24"/>
          <w:u w:val="none"/>
          <w:lang w:val="sr-Cyrl-BA"/>
        </w:rPr>
        <w:t>202</w:t>
      </w:r>
      <w:r w:rsidR="00947620">
        <w:rPr>
          <w:szCs w:val="24"/>
          <w:u w:val="none"/>
          <w:lang w:val="sr-Cyrl-BA"/>
        </w:rPr>
        <w:t xml:space="preserve">4. године, првенствено због непознанице износа трошкова штампања рачуна, јер уколико постоји реклама на полеђини рачуна, трошкови штампе се не наплаћују, односно трошкове сноси онај који се рекламира.  </w:t>
      </w:r>
    </w:p>
    <w:p w:rsidR="00AD444D" w:rsidRPr="00AD444D" w:rsidRDefault="00AD444D" w:rsidP="00AD444D">
      <w:pPr>
        <w:pStyle w:val="ListParagraph"/>
        <w:ind w:left="1440"/>
        <w:jc w:val="both"/>
        <w:rPr>
          <w:sz w:val="16"/>
          <w:szCs w:val="16"/>
          <w:u w:val="none"/>
          <w:lang w:val="sr-Cyrl-BA"/>
        </w:rPr>
      </w:pPr>
    </w:p>
    <w:p w:rsidR="00AD444D" w:rsidRPr="00EF0731" w:rsidRDefault="00AD444D" w:rsidP="00AD444D">
      <w:pPr>
        <w:ind w:firstLine="720"/>
        <w:jc w:val="both"/>
        <w:rPr>
          <w:lang/>
        </w:rPr>
      </w:pPr>
      <w:r>
        <w:rPr>
          <w:b/>
          <w:lang w:val="sr-Cyrl-BA"/>
        </w:rPr>
        <w:t>5</w:t>
      </w:r>
      <w:r>
        <w:rPr>
          <w:b/>
          <w:lang/>
        </w:rPr>
        <w:t>5</w:t>
      </w:r>
      <w:r>
        <w:rPr>
          <w:b/>
          <w:lang w:val="sr-Cyrl-BA"/>
        </w:rPr>
        <w:t>1 – Трошкови репрезентације – 0,44%</w:t>
      </w:r>
    </w:p>
    <w:p w:rsidR="00AD444D" w:rsidRDefault="00AD444D" w:rsidP="00AD444D">
      <w:pPr>
        <w:pStyle w:val="ListParagraph"/>
        <w:ind w:left="1440"/>
        <w:jc w:val="both"/>
        <w:rPr>
          <w:szCs w:val="24"/>
          <w:u w:val="none"/>
          <w:lang w:val="sr-Cyrl-BA"/>
        </w:rPr>
      </w:pPr>
    </w:p>
    <w:p w:rsidR="00AD444D" w:rsidRDefault="00AD444D" w:rsidP="00AD444D">
      <w:pPr>
        <w:pStyle w:val="ListParagraph"/>
        <w:ind w:left="0" w:firstLine="709"/>
        <w:jc w:val="both"/>
        <w:rPr>
          <w:szCs w:val="24"/>
          <w:u w:val="none"/>
          <w:lang w:val="sr-Cyrl-BA"/>
        </w:rPr>
      </w:pPr>
      <w:r>
        <w:rPr>
          <w:szCs w:val="24"/>
          <w:u w:val="none"/>
          <w:lang w:val="sr-Cyrl-BA"/>
        </w:rPr>
        <w:t xml:space="preserve">Трошкови репрезентације у 2025. години су планирани на основу процјене остварења трошкова из 2024. године уз незнатно повећање појединих ставки у оквиру трошкова. У 2024. години процијењени трошкови репрезентације у пословним просторијама су значајно повећани у односу на план, због учествовања АД „Комуналац“ Бијељина на великом броју разних манифестација.  </w:t>
      </w:r>
    </w:p>
    <w:p w:rsidR="00C03013" w:rsidRPr="00947620" w:rsidRDefault="00C04385" w:rsidP="00947620">
      <w:pPr>
        <w:pStyle w:val="ListParagraph"/>
        <w:ind w:left="1440"/>
        <w:jc w:val="both"/>
        <w:rPr>
          <w:sz w:val="16"/>
          <w:szCs w:val="16"/>
          <w:u w:val="none"/>
          <w:lang w:val="sr-Cyrl-BA"/>
        </w:rPr>
      </w:pPr>
      <w:r w:rsidRPr="00947620">
        <w:rPr>
          <w:sz w:val="16"/>
          <w:szCs w:val="16"/>
          <w:u w:val="none"/>
          <w:lang w:val="sr-Cyrl-BA"/>
        </w:rPr>
        <w:t xml:space="preserve">  </w:t>
      </w:r>
    </w:p>
    <w:p w:rsidR="00E32994" w:rsidRPr="00EF0731" w:rsidRDefault="00E32994" w:rsidP="00E32994">
      <w:pPr>
        <w:ind w:firstLine="720"/>
        <w:jc w:val="both"/>
        <w:rPr>
          <w:lang/>
        </w:rPr>
      </w:pPr>
      <w:r>
        <w:rPr>
          <w:b/>
          <w:lang w:val="sr-Cyrl-BA"/>
        </w:rPr>
        <w:t>5</w:t>
      </w:r>
      <w:r>
        <w:rPr>
          <w:b/>
          <w:lang/>
        </w:rPr>
        <w:t>59</w:t>
      </w:r>
      <w:r>
        <w:rPr>
          <w:b/>
          <w:lang w:val="sr-Cyrl-BA"/>
        </w:rPr>
        <w:t xml:space="preserve"> – Остали нематеријални трошкови – </w:t>
      </w:r>
      <w:r>
        <w:rPr>
          <w:b/>
          <w:lang/>
        </w:rPr>
        <w:t>1,</w:t>
      </w:r>
      <w:r w:rsidR="00AD444D">
        <w:rPr>
          <w:b/>
          <w:lang w:val="sr-Cyrl-BA"/>
        </w:rPr>
        <w:t>12</w:t>
      </w:r>
      <w:r>
        <w:rPr>
          <w:b/>
          <w:lang w:val="sr-Cyrl-BA"/>
        </w:rPr>
        <w:t>%</w:t>
      </w:r>
    </w:p>
    <w:p w:rsidR="00E44520" w:rsidRPr="00E44520" w:rsidRDefault="00E44520" w:rsidP="00DA4ED1">
      <w:pPr>
        <w:ind w:firstLine="720"/>
        <w:jc w:val="both"/>
        <w:rPr>
          <w:sz w:val="8"/>
          <w:szCs w:val="8"/>
          <w:lang/>
        </w:rPr>
      </w:pPr>
    </w:p>
    <w:p w:rsidR="00E32994" w:rsidRPr="005076D6" w:rsidRDefault="00E32994" w:rsidP="00DA4ED1">
      <w:pPr>
        <w:ind w:firstLine="720"/>
        <w:jc w:val="both"/>
        <w:rPr>
          <w:lang w:val="sr-Cyrl-BA"/>
        </w:rPr>
      </w:pPr>
      <w:r w:rsidRPr="005076D6">
        <w:rPr>
          <w:lang w:val="sr-Cyrl-BA"/>
        </w:rPr>
        <w:t>Остали нематеријални трошко</w:t>
      </w:r>
      <w:r w:rsidR="0085299E" w:rsidRPr="005076D6">
        <w:rPr>
          <w:lang w:val="sr-Cyrl-BA"/>
        </w:rPr>
        <w:t xml:space="preserve">ви, планирани су у износу </w:t>
      </w:r>
      <w:r w:rsidR="00945C01" w:rsidRPr="005076D6">
        <w:rPr>
          <w:lang w:val="sr-Cyrl-BA"/>
        </w:rPr>
        <w:t>од 84</w:t>
      </w:r>
      <w:r w:rsidRPr="005076D6">
        <w:rPr>
          <w:lang w:val="sr-Cyrl-BA"/>
        </w:rPr>
        <w:t>.600,00 КМ, у оквиру ког су планирана сљедећа издвајања:</w:t>
      </w:r>
    </w:p>
    <w:p w:rsidR="00460244" w:rsidRPr="00460244" w:rsidRDefault="00E32994" w:rsidP="00E32994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трошкови огласа у штампи</w:t>
      </w:r>
      <w:r w:rsidR="005076D6">
        <w:rPr>
          <w:u w:val="none"/>
          <w:lang w:val="sr-Cyrl-BA"/>
        </w:rPr>
        <w:t xml:space="preserve"> у износу од 4</w:t>
      </w:r>
      <w:r w:rsidR="0085299E">
        <w:rPr>
          <w:u w:val="none"/>
          <w:lang w:val="sr-Cyrl-BA"/>
        </w:rPr>
        <w:t>.0</w:t>
      </w:r>
      <w:r>
        <w:rPr>
          <w:u w:val="none"/>
          <w:lang w:val="sr-Cyrl-BA"/>
        </w:rPr>
        <w:t xml:space="preserve">00,00 КМ, </w:t>
      </w:r>
      <w:r w:rsidR="00460244">
        <w:rPr>
          <w:u w:val="none"/>
          <w:lang w:val="sr-Cyrl-BA"/>
        </w:rPr>
        <w:t>у оквиру којих се евидентирају трошкови обавјештења о набавци, трошкови објаве јавног конкурса, трошкови сазива скупштине акционара, трошкови објаве лицитација и других огласа</w:t>
      </w:r>
      <w:r w:rsidR="00341A8F">
        <w:rPr>
          <w:u w:val="none"/>
          <w:lang w:val="sr-Cyrl-BA"/>
        </w:rPr>
        <w:t>;</w:t>
      </w:r>
    </w:p>
    <w:p w:rsidR="00E32994" w:rsidRDefault="00460244" w:rsidP="00E32994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РТВ таксе – порез на посједовање ТВ апарата</w:t>
      </w:r>
      <w:r>
        <w:rPr>
          <w:u w:val="none"/>
          <w:lang w:val="sr-Cyrl-BA"/>
        </w:rPr>
        <w:t xml:space="preserve"> у износу од 100,00 КМ, к</w:t>
      </w:r>
      <w:r w:rsidR="0085299E">
        <w:rPr>
          <w:u w:val="none"/>
          <w:lang w:val="sr-Cyrl-BA"/>
        </w:rPr>
        <w:t>оји је</w:t>
      </w:r>
      <w:r w:rsidR="00AD444D">
        <w:rPr>
          <w:u w:val="none"/>
          <w:lang w:val="sr-Cyrl-BA"/>
        </w:rPr>
        <w:t xml:space="preserve"> на ниову остварења 2024</w:t>
      </w:r>
      <w:r>
        <w:rPr>
          <w:u w:val="none"/>
          <w:lang w:val="sr-Cyrl-BA"/>
        </w:rPr>
        <w:t>. године</w:t>
      </w:r>
      <w:r w:rsidR="00341A8F">
        <w:rPr>
          <w:u w:val="none"/>
          <w:lang w:val="sr-Cyrl-BA"/>
        </w:rPr>
        <w:t>;</w:t>
      </w:r>
      <w:r w:rsidR="00E32994">
        <w:rPr>
          <w:lang w:val="sr-Cyrl-BA"/>
        </w:rPr>
        <w:t xml:space="preserve"> </w:t>
      </w:r>
    </w:p>
    <w:p w:rsidR="00341A8F" w:rsidRPr="00341A8F" w:rsidRDefault="00460244" w:rsidP="00E32994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судске таксе по извршним поступцима</w:t>
      </w:r>
      <w:r w:rsidR="005076D6">
        <w:rPr>
          <w:u w:val="none"/>
          <w:lang w:val="sr-Cyrl-BA"/>
        </w:rPr>
        <w:t xml:space="preserve"> у износу од 45</w:t>
      </w:r>
      <w:r>
        <w:rPr>
          <w:u w:val="none"/>
          <w:lang w:val="sr-Cyrl-BA"/>
        </w:rPr>
        <w:t>.000,00 КМ,</w:t>
      </w:r>
      <w:r w:rsidR="0085299E">
        <w:rPr>
          <w:u w:val="none"/>
          <w:lang w:val="sr-Cyrl-BA"/>
        </w:rPr>
        <w:t xml:space="preserve"> које се односе на </w:t>
      </w:r>
      <w:r w:rsidR="00341A8F">
        <w:rPr>
          <w:u w:val="none"/>
          <w:lang w:val="sr-Cyrl-BA"/>
        </w:rPr>
        <w:t>уплаћене</w:t>
      </w:r>
      <w:r w:rsidR="0085299E" w:rsidRPr="0085299E">
        <w:rPr>
          <w:u w:val="none"/>
          <w:lang w:val="sr-Cyrl-BA"/>
        </w:rPr>
        <w:t xml:space="preserve"> </w:t>
      </w:r>
      <w:r w:rsidR="0085299E">
        <w:rPr>
          <w:u w:val="none"/>
          <w:lang w:val="sr-Cyrl-BA"/>
        </w:rPr>
        <w:t>таксе</w:t>
      </w:r>
      <w:r w:rsidR="00341A8F">
        <w:rPr>
          <w:u w:val="none"/>
          <w:lang w:val="sr-Cyrl-BA"/>
        </w:rPr>
        <w:t xml:space="preserve"> за покретање приједлога за извршење, таксе на извршење,</w:t>
      </w:r>
      <w:r w:rsidR="00AD444D">
        <w:rPr>
          <w:u w:val="none"/>
          <w:lang w:val="sr-Cyrl-BA"/>
        </w:rPr>
        <w:t xml:space="preserve"> </w:t>
      </w:r>
      <w:r w:rsidR="00341A8F">
        <w:rPr>
          <w:u w:val="none"/>
          <w:lang w:val="sr-Cyrl-BA"/>
        </w:rPr>
        <w:t>таксе на жалбе и друге;</w:t>
      </w:r>
    </w:p>
    <w:p w:rsidR="00341A8F" w:rsidRDefault="00341A8F" w:rsidP="00341A8F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остале судске таксе</w:t>
      </w:r>
      <w:r w:rsidR="005076D6">
        <w:rPr>
          <w:u w:val="none"/>
          <w:lang w:val="sr-Cyrl-BA"/>
        </w:rPr>
        <w:t xml:space="preserve"> у износу од 3</w:t>
      </w:r>
      <w:r>
        <w:rPr>
          <w:u w:val="none"/>
          <w:lang w:val="sr-Cyrl-BA"/>
        </w:rPr>
        <w:t xml:space="preserve">.000,00 КМ, у оквиру којих се највећи дио односи на таксе за приступ подацима, таксе за упис промјене овлаштених лица и друге; </w:t>
      </w:r>
    </w:p>
    <w:p w:rsidR="00341A8F" w:rsidRPr="00315169" w:rsidRDefault="00341A8F" w:rsidP="00341A8F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 w:rsidRPr="00315169">
        <w:rPr>
          <w:lang w:val="sr-Cyrl-BA"/>
        </w:rPr>
        <w:t>судски трошкови и трошкови вјештачења</w:t>
      </w:r>
      <w:r w:rsidRPr="00315169">
        <w:rPr>
          <w:u w:val="none"/>
          <w:lang w:val="sr-Cyrl-BA"/>
        </w:rPr>
        <w:t xml:space="preserve"> у износу од 1.000,00 КМ, који се не могу реално планирати, те је план рађен на основу плана за 202</w:t>
      </w:r>
      <w:r w:rsidR="00AD444D">
        <w:rPr>
          <w:u w:val="none"/>
          <w:lang w:val="sr-Cyrl-BA"/>
        </w:rPr>
        <w:t>4</w:t>
      </w:r>
      <w:r w:rsidRPr="00315169">
        <w:rPr>
          <w:u w:val="none"/>
          <w:lang w:val="sr-Cyrl-BA"/>
        </w:rPr>
        <w:t>. годину;</w:t>
      </w:r>
    </w:p>
    <w:p w:rsidR="00BE4F5F" w:rsidRPr="00BE4F5F" w:rsidRDefault="00341A8F" w:rsidP="00341A8F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трошкови претплате на часописе и стручне публикације</w:t>
      </w:r>
      <w:r w:rsidR="00315169">
        <w:rPr>
          <w:u w:val="none"/>
          <w:lang w:val="sr-Cyrl-BA"/>
        </w:rPr>
        <w:t xml:space="preserve"> у износу од 1</w:t>
      </w:r>
      <w:r w:rsidR="0085299E">
        <w:rPr>
          <w:u w:val="none"/>
          <w:lang w:val="sr-Cyrl-BA"/>
        </w:rPr>
        <w:t>.5</w:t>
      </w:r>
      <w:r>
        <w:rPr>
          <w:u w:val="none"/>
          <w:lang w:val="sr-Cyrl-BA"/>
        </w:rPr>
        <w:t>00,00 КМ, у оквиру којих се евидентирају претплате за Службени гл</w:t>
      </w:r>
      <w:r w:rsidR="004847F9">
        <w:rPr>
          <w:u w:val="none"/>
          <w:lang w:val="sr-Cyrl-BA"/>
        </w:rPr>
        <w:t>асник РС, претплате на часопис з</w:t>
      </w:r>
      <w:r>
        <w:rPr>
          <w:u w:val="none"/>
          <w:lang w:val="sr-Cyrl-BA"/>
        </w:rPr>
        <w:t xml:space="preserve">а јавне набавке, претплата на Финрар и друге </w:t>
      </w:r>
      <w:r w:rsidR="00BE4F5F">
        <w:rPr>
          <w:u w:val="none"/>
          <w:lang w:val="sr-Cyrl-BA"/>
        </w:rPr>
        <w:t>часописе и стручне публикације;</w:t>
      </w:r>
    </w:p>
    <w:p w:rsidR="00BE4F5F" w:rsidRPr="00BE4F5F" w:rsidRDefault="00BE4F5F" w:rsidP="00341A8F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t>трошкови за регистрацију возила</w:t>
      </w:r>
      <w:r w:rsidR="00315169">
        <w:rPr>
          <w:u w:val="none"/>
          <w:lang w:val="sr-Cyrl-BA"/>
        </w:rPr>
        <w:t xml:space="preserve"> у износу од 28</w:t>
      </w:r>
      <w:r w:rsidR="00971AC9">
        <w:rPr>
          <w:u w:val="none"/>
          <w:lang w:val="sr-Cyrl-BA"/>
        </w:rPr>
        <w:t>.000,00 КМ, који су увећани за 1</w:t>
      </w:r>
      <w:r>
        <w:rPr>
          <w:u w:val="none"/>
          <w:lang w:val="sr-Cyrl-BA"/>
        </w:rPr>
        <w:t>.000,00 КМ у односу на процјену остварења за 202</w:t>
      </w:r>
      <w:r w:rsidR="00971AC9">
        <w:rPr>
          <w:u w:val="none"/>
          <w:lang w:val="sr-Cyrl-BA"/>
        </w:rPr>
        <w:t>4</w:t>
      </w:r>
      <w:r>
        <w:rPr>
          <w:u w:val="none"/>
          <w:lang w:val="sr-Cyrl-BA"/>
        </w:rPr>
        <w:t>. годину, због планиране набавке специјалних комуналних возила и</w:t>
      </w:r>
    </w:p>
    <w:p w:rsidR="00460244" w:rsidRPr="00341A8F" w:rsidRDefault="00BE4F5F" w:rsidP="00341A8F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>
        <w:rPr>
          <w:lang w:val="sr-Cyrl-BA"/>
        </w:rPr>
        <w:lastRenderedPageBreak/>
        <w:t>остали нематеријални трошкови</w:t>
      </w:r>
      <w:r w:rsidR="00315169">
        <w:rPr>
          <w:u w:val="none"/>
          <w:lang w:val="sr-Cyrl-BA"/>
        </w:rPr>
        <w:t xml:space="preserve"> у износу од 2</w:t>
      </w:r>
      <w:r>
        <w:rPr>
          <w:u w:val="none"/>
          <w:lang w:val="sr-Cyrl-BA"/>
        </w:rPr>
        <w:t>.000,00 КМ, за оне трошкове</w:t>
      </w:r>
      <w:r>
        <w:rPr>
          <w:u w:val="none"/>
          <w:lang/>
        </w:rPr>
        <w:t xml:space="preserve"> </w:t>
      </w:r>
      <w:r>
        <w:rPr>
          <w:u w:val="none"/>
          <w:lang w:val="sr-Cyrl-BA"/>
        </w:rPr>
        <w:t>који се не могу прецизно планирати и за које није прописан посебан рачун у оквиру синтетичког конта 559</w:t>
      </w:r>
      <w:r>
        <w:rPr>
          <w:u w:val="none"/>
          <w:lang/>
        </w:rPr>
        <w:t xml:space="preserve">. </w:t>
      </w:r>
      <w:r w:rsidR="00460244" w:rsidRPr="00341A8F">
        <w:rPr>
          <w:u w:val="none"/>
          <w:lang w:val="sr-Cyrl-BA"/>
        </w:rPr>
        <w:t xml:space="preserve"> </w:t>
      </w:r>
      <w:r w:rsidR="00460244" w:rsidRPr="00341A8F">
        <w:rPr>
          <w:lang w:val="sr-Cyrl-BA"/>
        </w:rPr>
        <w:t xml:space="preserve"> </w:t>
      </w:r>
    </w:p>
    <w:p w:rsidR="00E32994" w:rsidRPr="00315169" w:rsidRDefault="00E32994" w:rsidP="00DA4ED1">
      <w:pPr>
        <w:ind w:firstLine="720"/>
        <w:jc w:val="both"/>
        <w:rPr>
          <w:sz w:val="16"/>
          <w:szCs w:val="16"/>
          <w:lang w:val="sr-Cyrl-BA"/>
        </w:rPr>
      </w:pPr>
    </w:p>
    <w:p w:rsidR="00315169" w:rsidRDefault="00315169" w:rsidP="00315169">
      <w:pPr>
        <w:ind w:firstLine="720"/>
        <w:jc w:val="both"/>
        <w:rPr>
          <w:b/>
          <w:lang w:val="sr-Cyrl-BA"/>
        </w:rPr>
      </w:pPr>
      <w:r>
        <w:rPr>
          <w:b/>
          <w:lang w:val="sr-Cyrl-BA"/>
        </w:rPr>
        <w:t xml:space="preserve">587 – Губици од усклађивања вриједности потраживања од купаца – </w:t>
      </w:r>
    </w:p>
    <w:p w:rsidR="00315169" w:rsidRPr="00EF0731" w:rsidRDefault="00315169" w:rsidP="00315169">
      <w:pPr>
        <w:ind w:firstLine="720"/>
        <w:jc w:val="both"/>
        <w:rPr>
          <w:lang/>
        </w:rPr>
      </w:pPr>
      <w:r>
        <w:rPr>
          <w:b/>
          <w:lang w:val="sr-Cyrl-BA"/>
        </w:rPr>
        <w:t xml:space="preserve">          </w:t>
      </w:r>
      <w:r w:rsidR="00971AC9">
        <w:rPr>
          <w:b/>
          <w:lang w:val="sr-Cyrl-BA"/>
        </w:rPr>
        <w:t>0,93</w:t>
      </w:r>
      <w:r>
        <w:rPr>
          <w:b/>
          <w:lang w:val="sr-Cyrl-BA"/>
        </w:rPr>
        <w:t>%</w:t>
      </w:r>
    </w:p>
    <w:p w:rsidR="00315169" w:rsidRPr="00E44520" w:rsidRDefault="00315169" w:rsidP="00315169">
      <w:pPr>
        <w:ind w:firstLine="720"/>
        <w:jc w:val="both"/>
        <w:rPr>
          <w:sz w:val="8"/>
          <w:szCs w:val="8"/>
          <w:lang/>
        </w:rPr>
      </w:pPr>
    </w:p>
    <w:p w:rsidR="00423BA3" w:rsidRPr="00423BA3" w:rsidRDefault="00423BA3" w:rsidP="00315169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У оквиру губитака од усклађивања вриједности потраживања од купаца, евидентирају се кредитни губици потраживања од купаца неповезаних лица, који су у текућој години планирани у износу од 70.000,00 КМ. </w:t>
      </w:r>
    </w:p>
    <w:p w:rsidR="00315169" w:rsidRPr="00423BA3" w:rsidRDefault="00315169" w:rsidP="00DA4ED1">
      <w:pPr>
        <w:ind w:firstLine="720"/>
        <w:jc w:val="both"/>
        <w:rPr>
          <w:lang w:val="sr-Cyrl-BA"/>
        </w:rPr>
      </w:pPr>
    </w:p>
    <w:p w:rsidR="00364B0D" w:rsidRDefault="009129D1" w:rsidP="006D6D46">
      <w:pPr>
        <w:ind w:firstLine="720"/>
        <w:jc w:val="both"/>
        <w:rPr>
          <w:lang w:val="sr-Cyrl-BA"/>
        </w:rPr>
      </w:pPr>
      <w:r>
        <w:rPr>
          <w:lang w:val="sr-Latn-CS"/>
        </w:rPr>
        <w:t>Разлика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планираних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прихода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и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расхода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је</w:t>
      </w:r>
      <w:r w:rsidR="00364B0D" w:rsidRPr="00EB3B89">
        <w:rPr>
          <w:lang w:val="sr-Latn-CS"/>
        </w:rPr>
        <w:t xml:space="preserve"> </w:t>
      </w:r>
      <w:r>
        <w:rPr>
          <w:lang w:val="sr-Latn-CS"/>
        </w:rPr>
        <w:t>планирана</w:t>
      </w:r>
      <w:r w:rsidR="00E45B36" w:rsidRPr="00EB3B89">
        <w:rPr>
          <w:lang w:val="sr-Latn-CS"/>
        </w:rPr>
        <w:t xml:space="preserve"> </w:t>
      </w:r>
      <w:r>
        <w:rPr>
          <w:lang w:val="sr-Latn-CS"/>
        </w:rPr>
        <w:t>бруто</w:t>
      </w:r>
      <w:r w:rsidR="00E45B36" w:rsidRPr="00EB3B89">
        <w:rPr>
          <w:lang w:val="sr-Latn-CS"/>
        </w:rPr>
        <w:t xml:space="preserve"> </w:t>
      </w:r>
      <w:r>
        <w:rPr>
          <w:lang w:val="sr-Latn-CS"/>
        </w:rPr>
        <w:t>добит</w:t>
      </w:r>
      <w:r w:rsidR="001D00FF" w:rsidRPr="00EB3B89">
        <w:rPr>
          <w:lang w:val="sr-Latn-CS"/>
        </w:rPr>
        <w:t xml:space="preserve"> </w:t>
      </w:r>
      <w:r>
        <w:rPr>
          <w:lang w:val="sr-Latn-CS"/>
        </w:rPr>
        <w:t>у</w:t>
      </w:r>
      <w:r w:rsidR="001D00FF" w:rsidRPr="00EB3B89">
        <w:rPr>
          <w:lang w:val="sr-Latn-CS"/>
        </w:rPr>
        <w:t xml:space="preserve"> </w:t>
      </w:r>
      <w:r>
        <w:rPr>
          <w:lang w:val="sr-Latn-CS"/>
        </w:rPr>
        <w:t>износу</w:t>
      </w:r>
      <w:r w:rsidR="001D00FF" w:rsidRPr="00EB3B89">
        <w:rPr>
          <w:lang w:val="sr-Latn-CS"/>
        </w:rPr>
        <w:t xml:space="preserve"> </w:t>
      </w:r>
      <w:r>
        <w:rPr>
          <w:lang w:val="sr-Latn-CS"/>
        </w:rPr>
        <w:t>од</w:t>
      </w:r>
      <w:r w:rsidR="001D00FF" w:rsidRPr="00EB3B89">
        <w:rPr>
          <w:lang w:val="sr-Latn-CS"/>
        </w:rPr>
        <w:t xml:space="preserve"> </w:t>
      </w:r>
      <w:r w:rsidR="00B20309">
        <w:rPr>
          <w:lang w:val="sr-Cyrl-BA"/>
        </w:rPr>
        <w:t>84.100,00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КМ</w:t>
      </w:r>
      <w:r w:rsidR="008632B9" w:rsidRPr="00EB3B89">
        <w:rPr>
          <w:lang w:val="sr-Latn-CS"/>
        </w:rPr>
        <w:t>.</w:t>
      </w:r>
      <w:r w:rsidR="006D6D46">
        <w:rPr>
          <w:lang w:val="sr-Latn-CS"/>
        </w:rPr>
        <w:t xml:space="preserve"> </w:t>
      </w:r>
      <w:r>
        <w:rPr>
          <w:lang w:val="sr-Latn-CS"/>
        </w:rPr>
        <w:t>Одлуку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о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расподјели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добити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доноси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Скупштина</w:t>
      </w:r>
      <w:r w:rsidR="008632B9" w:rsidRPr="00EB3B89">
        <w:rPr>
          <w:lang w:val="sr-Latn-CS"/>
        </w:rPr>
        <w:t xml:space="preserve"> </w:t>
      </w:r>
      <w:r>
        <w:rPr>
          <w:lang w:val="sr-Latn-CS"/>
        </w:rPr>
        <w:t>акционара</w:t>
      </w:r>
      <w:r w:rsidR="008632B9" w:rsidRPr="00EB3B89">
        <w:rPr>
          <w:lang w:val="sr-Latn-CS"/>
        </w:rPr>
        <w:t xml:space="preserve"> </w:t>
      </w:r>
      <w:r w:rsidR="00BE4F5F">
        <w:rPr>
          <w:lang w:val="sr-Cyrl-BA"/>
        </w:rPr>
        <w:t>а.д. „Комуналац“ Бијељина</w:t>
      </w:r>
      <w:r w:rsidR="00AA6874" w:rsidRPr="00EB3B89">
        <w:rPr>
          <w:lang w:val="sr-Latn-CS"/>
        </w:rPr>
        <w:t>.</w:t>
      </w: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Default="009D7BA1" w:rsidP="006D6D46">
      <w:pPr>
        <w:ind w:firstLine="720"/>
        <w:jc w:val="both"/>
        <w:rPr>
          <w:lang w:val="sr-Cyrl-BA"/>
        </w:rPr>
      </w:pPr>
    </w:p>
    <w:p w:rsidR="009D7BA1" w:rsidRPr="009D7BA1" w:rsidRDefault="009D7BA1" w:rsidP="006D6D46">
      <w:pPr>
        <w:ind w:firstLine="720"/>
        <w:jc w:val="both"/>
        <w:rPr>
          <w:lang w:val="sr-Cyrl-BA"/>
        </w:rPr>
      </w:pPr>
    </w:p>
    <w:p w:rsidR="00B0537D" w:rsidRPr="00C2384F" w:rsidRDefault="00B0537D" w:rsidP="00B0537D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6" w:name="_Toc153538044"/>
      <w:r w:rsidRPr="00C2384F">
        <w:rPr>
          <w:rFonts w:ascii="Times New Roman" w:hAnsi="Times New Roman"/>
          <w:sz w:val="24"/>
          <w:szCs w:val="24"/>
          <w:lang w:val="sr-Latn-CS"/>
        </w:rPr>
        <w:lastRenderedPageBreak/>
        <w:t>VIII –</w:t>
      </w:r>
      <w:r w:rsidRPr="00C2384F">
        <w:rPr>
          <w:rFonts w:ascii="Times New Roman" w:hAnsi="Times New Roman"/>
          <w:sz w:val="24"/>
          <w:szCs w:val="24"/>
          <w:lang w:val="sr-Cyrl-BA"/>
        </w:rPr>
        <w:t xml:space="preserve"> ПЛАН НОВЧАНИХ ТОКОВА</w:t>
      </w:r>
      <w:bookmarkEnd w:id="16"/>
      <w:r w:rsidRPr="00C2384F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B0537D" w:rsidRDefault="00B0537D" w:rsidP="00B0537D">
      <w:pPr>
        <w:ind w:hanging="90"/>
        <w:rPr>
          <w:b/>
          <w:lang w:val="sr-Latn-BA"/>
        </w:rPr>
      </w:pPr>
    </w:p>
    <w:p w:rsidR="00E37A9F" w:rsidRDefault="00B0537D" w:rsidP="00E37A9F">
      <w:pPr>
        <w:ind w:hanging="90"/>
        <w:jc w:val="both"/>
        <w:rPr>
          <w:lang w:val="sr-Cyrl-BA"/>
        </w:rPr>
      </w:pPr>
      <w:r>
        <w:rPr>
          <w:lang w:val="sr-Latn-BA"/>
        </w:rPr>
        <w:tab/>
      </w:r>
      <w:r>
        <w:rPr>
          <w:lang w:val="sr-Latn-BA"/>
        </w:rPr>
        <w:tab/>
      </w:r>
      <w:r w:rsidR="00E37A9F">
        <w:rPr>
          <w:lang w:val="sr-Cyrl-BA"/>
        </w:rPr>
        <w:t>Главни циљ овог</w:t>
      </w:r>
      <w:r>
        <w:rPr>
          <w:lang w:val="sr-Cyrl-BA"/>
        </w:rPr>
        <w:t xml:space="preserve"> </w:t>
      </w:r>
      <w:r w:rsidR="00E37A9F">
        <w:rPr>
          <w:lang w:val="sr-Cyrl-BA"/>
        </w:rPr>
        <w:t>Друштва</w:t>
      </w:r>
      <w:r>
        <w:rPr>
          <w:lang w:val="sr-Cyrl-BA"/>
        </w:rPr>
        <w:t xml:space="preserve"> је опстанак на тржишту, што се може постићи </w:t>
      </w:r>
      <w:r w:rsidR="00E37A9F">
        <w:rPr>
          <w:lang w:val="sr-Cyrl-BA"/>
        </w:rPr>
        <w:t>кроз развој и раст. Једна од основних управљачких функицја, поред организовања, управљања људским ресурсима, вођења и контроле, је ефикасно планирање. Двије основне врсте планова су оперативни и финансијски план. У оквиру финансијског плана, поред планирања прихода и расхода, неопх</w:t>
      </w:r>
      <w:r w:rsidR="002B6492">
        <w:rPr>
          <w:lang w:val="sr-Cyrl-BA"/>
        </w:rPr>
        <w:t>о</w:t>
      </w:r>
      <w:r w:rsidR="00E37A9F">
        <w:rPr>
          <w:lang w:val="sr-Cyrl-BA"/>
        </w:rPr>
        <w:t>дно је планирати новчане приливе и одливе, односно план новчаних токова.</w:t>
      </w:r>
    </w:p>
    <w:p w:rsidR="00B0537D" w:rsidRDefault="00E37A9F" w:rsidP="00E37A9F">
      <w:pPr>
        <w:ind w:hanging="90"/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  <w:t>Основ за израду плана новчаних токова</w:t>
      </w:r>
      <w:r w:rsidR="002B6492">
        <w:rPr>
          <w:lang w:val="sr-Cyrl-BA"/>
        </w:rPr>
        <w:t xml:space="preserve"> за 202</w:t>
      </w:r>
      <w:r w:rsidR="00F4614A">
        <w:rPr>
          <w:lang w:val="sr-Cyrl-BA"/>
        </w:rPr>
        <w:t>5</w:t>
      </w:r>
      <w:r w:rsidR="002B6492">
        <w:rPr>
          <w:lang w:val="sr-Cyrl-BA"/>
        </w:rPr>
        <w:t>. годину</w:t>
      </w:r>
      <w:r w:rsidR="001C5EEC">
        <w:rPr>
          <w:lang w:val="sr-Cyrl-BA"/>
        </w:rPr>
        <w:t xml:space="preserve"> </w:t>
      </w:r>
      <w:r>
        <w:rPr>
          <w:lang w:val="sr-Cyrl-BA"/>
        </w:rPr>
        <w:t>је план пр</w:t>
      </w:r>
      <w:r w:rsidR="002B6492">
        <w:rPr>
          <w:lang w:val="sr-Cyrl-BA"/>
        </w:rPr>
        <w:t>ихода и расхода за 202</w:t>
      </w:r>
      <w:r w:rsidR="00F4614A">
        <w:rPr>
          <w:lang w:val="sr-Cyrl-BA"/>
        </w:rPr>
        <w:t>5</w:t>
      </w:r>
      <w:r w:rsidR="002B6492">
        <w:rPr>
          <w:lang w:val="sr-Cyrl-BA"/>
        </w:rPr>
        <w:t>. годину, уз детаљно анализирање структуре потраживања и обавеза на крају 202</w:t>
      </w:r>
      <w:r w:rsidR="00F4614A">
        <w:rPr>
          <w:lang w:val="sr-Cyrl-BA"/>
        </w:rPr>
        <w:t>4</w:t>
      </w:r>
      <w:r w:rsidR="002B6492">
        <w:rPr>
          <w:lang w:val="sr-Cyrl-BA"/>
        </w:rPr>
        <w:t>. године, те плана инвестиционих улагања за 202</w:t>
      </w:r>
      <w:r w:rsidR="00F4614A">
        <w:rPr>
          <w:lang w:val="sr-Cyrl-BA"/>
        </w:rPr>
        <w:t>5</w:t>
      </w:r>
      <w:r w:rsidR="002B6492">
        <w:rPr>
          <w:lang w:val="sr-Cyrl-BA"/>
        </w:rPr>
        <w:t xml:space="preserve">. годину. </w:t>
      </w:r>
      <w:r w:rsidR="00B0537D">
        <w:rPr>
          <w:lang w:val="sr-Cyrl-BA"/>
        </w:rPr>
        <w:t xml:space="preserve"> </w:t>
      </w:r>
    </w:p>
    <w:p w:rsidR="00E37A9F" w:rsidRDefault="00E37A9F" w:rsidP="00E37A9F">
      <w:pPr>
        <w:ind w:hanging="90"/>
        <w:jc w:val="both"/>
        <w:rPr>
          <w:lang w:val="sr-Cyrl-BA"/>
        </w:rPr>
      </w:pPr>
    </w:p>
    <w:tbl>
      <w:tblPr>
        <w:tblW w:w="10915" w:type="dxa"/>
        <w:tblInd w:w="-601" w:type="dxa"/>
        <w:tblLook w:val="04A0"/>
      </w:tblPr>
      <w:tblGrid>
        <w:gridCol w:w="709"/>
        <w:gridCol w:w="6096"/>
        <w:gridCol w:w="567"/>
        <w:gridCol w:w="992"/>
        <w:gridCol w:w="1276"/>
        <w:gridCol w:w="1275"/>
      </w:tblGrid>
      <w:tr w:rsidR="00E37A9F" w:rsidRPr="00C45EFA" w:rsidTr="001C5EEC">
        <w:trPr>
          <w:trHeight w:val="25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DDDDDD"/>
            </w:tcBorders>
            <w:shd w:val="clear" w:color="000000" w:fill="454F67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Редни</w:t>
            </w:r>
            <w:r w:rsidR="00E37A9F"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број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000000" w:fill="454F67"/>
            <w:noWrap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ПОЗИЦИЈА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000000" w:fill="454F67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АОП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000000" w:fill="454F67"/>
            <w:vAlign w:val="center"/>
            <w:hideMark/>
          </w:tcPr>
          <w:p w:rsidR="00E37A9F" w:rsidRPr="00C45EFA" w:rsidRDefault="001C5EEC" w:rsidP="001C5EEC">
            <w:pPr>
              <w:ind w:left="-108" w:right="-108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Напомена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DDDDDD"/>
              <w:right w:val="single" w:sz="4" w:space="0" w:color="000000"/>
            </w:tcBorders>
            <w:shd w:val="clear" w:color="000000" w:fill="454F67"/>
            <w:noWrap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Износ</w:t>
            </w:r>
          </w:p>
        </w:tc>
      </w:tr>
      <w:tr w:rsidR="00E37A9F" w:rsidRPr="00C45EFA" w:rsidTr="001C5EEC">
        <w:trPr>
          <w:trHeight w:val="467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000000" w:fill="454F67"/>
            <w:vAlign w:val="center"/>
            <w:hideMark/>
          </w:tcPr>
          <w:p w:rsidR="00E37A9F" w:rsidRPr="001C5EEC" w:rsidRDefault="00C2384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  <w:t>Процјена остварења 31.12.202</w:t>
            </w: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Latn-BA"/>
              </w:rPr>
              <w:t>4</w:t>
            </w:r>
            <w:r w:rsidR="001C5EEC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DDDDDD"/>
              <w:right w:val="single" w:sz="4" w:space="0" w:color="auto"/>
            </w:tcBorders>
            <w:shd w:val="clear" w:color="000000" w:fill="454F67"/>
            <w:vAlign w:val="center"/>
            <w:hideMark/>
          </w:tcPr>
          <w:p w:rsidR="00E37A9F" w:rsidRPr="001C5EEC" w:rsidRDefault="001C5EEC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П</w:t>
            </w:r>
            <w:r w:rsidR="00A8103C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  <w:t>лан за 202</w:t>
            </w:r>
            <w:r w:rsidR="00A8103C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Latn-BA"/>
              </w:rPr>
              <w:t>5</w:t>
            </w: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sr-Cyrl-BA"/>
              </w:rPr>
              <w:t>. годину</w:t>
            </w:r>
          </w:p>
        </w:tc>
      </w:tr>
      <w:tr w:rsidR="00E37A9F" w:rsidRPr="00C45EFA" w:rsidTr="001C5EEC">
        <w:trPr>
          <w:trHeight w:val="255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DDDDDD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DDDDDD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454F67"/>
            <w:noWrap/>
            <w:vAlign w:val="bottom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5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</w:t>
            </w:r>
            <w:r w:rsidR="00E37A9F" w:rsidRPr="00C45EFA">
              <w:rPr>
                <w:rFonts w:ascii="Calibri" w:hAnsi="Calibri" w:cs="Calibri"/>
                <w:sz w:val="18"/>
                <w:szCs w:val="18"/>
              </w:rPr>
              <w:br/>
            </w:r>
            <w:r w:rsidR="007317BA"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ТОКОВИ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ПОСЛОВНИХ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Приливи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пословне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(502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до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505)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bookmarkStart w:id="17" w:name="RANGE!I21:L88"/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501</w:t>
            </w:r>
            <w:bookmarkEnd w:id="17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5D4247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7.843.700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8.040</w:t>
            </w:r>
            <w:r w:rsidR="002E708E">
              <w:rPr>
                <w:rFonts w:ascii="Calibri" w:hAnsi="Calibri" w:cs="Calibri"/>
                <w:b/>
                <w:bCs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купаца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примљени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аванси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земљи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3622E0" w:rsidRDefault="005D4247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Latn-BA"/>
              </w:rPr>
            </w:pPr>
            <w:r>
              <w:rPr>
                <w:rFonts w:ascii="Calibri" w:hAnsi="Calibri" w:cs="Calibri"/>
                <w:sz w:val="18"/>
                <w:szCs w:val="18"/>
                <w:lang w:val="sr-Latn-BA"/>
              </w:rPr>
              <w:t>7.620.000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  <w:r w:rsidR="001E4CEB">
              <w:rPr>
                <w:rFonts w:ascii="Calibri" w:hAnsi="Calibri" w:cs="Calibri"/>
                <w:sz w:val="18"/>
                <w:szCs w:val="18"/>
              </w:rPr>
              <w:t>85</w:t>
            </w:r>
            <w:r w:rsidR="002120F8">
              <w:rPr>
                <w:rFonts w:ascii="Calibri" w:hAnsi="Calibri" w:cs="Calibri"/>
                <w:sz w:val="18"/>
                <w:szCs w:val="18"/>
              </w:rPr>
              <w:t>0.000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купаца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примљени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аванси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иностранству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премија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субвенција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дотација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сл</w:t>
            </w:r>
            <w:r w:rsidRPr="00C45EF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5D4247" w:rsidRDefault="00C2384F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Latn-BA"/>
              </w:rPr>
            </w:pPr>
            <w:r w:rsidRPr="005D4247">
              <w:rPr>
                <w:rFonts w:ascii="Calibri" w:hAnsi="Calibri" w:cs="Calibri"/>
                <w:sz w:val="18"/>
                <w:szCs w:val="18"/>
                <w:lang w:val="sr-Latn-BA"/>
              </w:rPr>
              <w:t>88.700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8B14B3" w:rsidRDefault="00C2384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8B14B3">
              <w:rPr>
                <w:rFonts w:ascii="Calibri" w:hAnsi="Calibri" w:cs="Calibri"/>
                <w:sz w:val="18"/>
                <w:szCs w:val="18"/>
              </w:rPr>
              <w:t>40.000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пословних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5D4247" w:rsidRDefault="005D4247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Latn-BA"/>
              </w:rPr>
            </w:pPr>
            <w:r>
              <w:rPr>
                <w:rFonts w:ascii="Calibri" w:hAnsi="Calibri" w:cs="Calibri"/>
                <w:sz w:val="18"/>
                <w:szCs w:val="18"/>
                <w:lang w:val="sr-Latn-BA"/>
              </w:rPr>
              <w:t>13</w:t>
            </w:r>
            <w:r w:rsidR="00AB7CB3" w:rsidRPr="005D4247">
              <w:rPr>
                <w:rFonts w:ascii="Calibri" w:hAnsi="Calibri" w:cs="Calibri"/>
                <w:sz w:val="18"/>
                <w:szCs w:val="18"/>
                <w:lang w:val="sr-Latn-BA"/>
              </w:rPr>
              <w:t>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8B14B3" w:rsidRDefault="008B14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</w:t>
            </w:r>
            <w:r w:rsidR="002E708E" w:rsidRPr="008B14B3">
              <w:rPr>
                <w:rFonts w:ascii="Calibri" w:hAnsi="Calibri" w:cs="Calibri"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7317BA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пословних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(507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до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512)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5D4247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7.</w:t>
            </w:r>
            <w:r w:rsidR="008B14B3">
              <w:rPr>
                <w:rFonts w:ascii="Calibri" w:hAnsi="Calibri" w:cs="Calibri"/>
                <w:b/>
                <w:bCs/>
                <w:sz w:val="18"/>
                <w:szCs w:val="18"/>
              </w:rPr>
              <w:t>684</w:t>
            </w:r>
            <w:r w:rsidR="00AB7CB3">
              <w:rPr>
                <w:rFonts w:ascii="Calibri" w:hAnsi="Calibri" w:cs="Calibri"/>
                <w:b/>
                <w:bCs/>
                <w:sz w:val="18"/>
                <w:szCs w:val="18"/>
              </w:rPr>
              <w:t>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7.9</w:t>
            </w:r>
            <w:r w:rsidR="001E4CEB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  <w:r w:rsidR="002E708E">
              <w:rPr>
                <w:rFonts w:ascii="Calibri" w:hAnsi="Calibri" w:cs="Calibri"/>
                <w:b/>
                <w:bCs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исплата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добављачима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дати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аванси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земљи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5D4247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  <w:r w:rsidR="008B14B3">
              <w:rPr>
                <w:rFonts w:ascii="Calibri" w:hAnsi="Calibri" w:cs="Calibri"/>
                <w:sz w:val="18"/>
                <w:szCs w:val="18"/>
              </w:rPr>
              <w:t>43</w:t>
            </w:r>
            <w:r w:rsidR="00066930">
              <w:rPr>
                <w:rFonts w:ascii="Calibri" w:hAnsi="Calibri" w:cs="Calibri"/>
                <w:sz w:val="18"/>
                <w:szCs w:val="18"/>
              </w:rPr>
              <w:t>0.700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2.480</w:t>
            </w:r>
            <w:r w:rsidR="002E708E">
              <w:rPr>
                <w:rFonts w:ascii="Calibri" w:hAnsi="Calibri" w:cs="Calibri"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исплата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добављачима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дати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аванси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иностранству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плаћених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камата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7848B9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9D7BA1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sr-Cyrl-BA"/>
              </w:rPr>
              <w:t>17.000</w:t>
            </w:r>
            <w:r w:rsidR="00E37A9F"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исплата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плата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накнада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плата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личних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5D4247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4.3</w:t>
            </w:r>
            <w:r w:rsidR="00825742">
              <w:rPr>
                <w:rFonts w:ascii="Calibri" w:hAnsi="Calibri" w:cs="Calibri"/>
                <w:sz w:val="18"/>
                <w:szCs w:val="18"/>
              </w:rPr>
              <w:t>51.300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8B14B3" w:rsidP="001E4CEB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  <w:r w:rsidR="001E4CEB">
              <w:rPr>
                <w:rFonts w:ascii="Calibri" w:hAnsi="Calibri" w:cs="Calibri"/>
                <w:sz w:val="18"/>
                <w:szCs w:val="18"/>
              </w:rPr>
              <w:t>47</w:t>
            </w:r>
            <w:r w:rsidR="002E708E">
              <w:rPr>
                <w:rFonts w:ascii="Calibri" w:hAnsi="Calibri" w:cs="Calibri"/>
                <w:sz w:val="18"/>
                <w:szCs w:val="18"/>
              </w:rPr>
              <w:t>0.000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пореза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добит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7848B9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2E708E">
              <w:rPr>
                <w:rFonts w:ascii="Calibri" w:hAnsi="Calibri" w:cs="Calibri"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пословних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880.000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93</w:t>
            </w:r>
            <w:r w:rsidR="002E708E">
              <w:rPr>
                <w:rFonts w:ascii="Calibri" w:hAnsi="Calibri" w:cs="Calibri"/>
                <w:sz w:val="18"/>
                <w:szCs w:val="18"/>
              </w:rPr>
              <w:t>0.000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7317BA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прилив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пословних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(501 – 506)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159.100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135</w:t>
            </w:r>
            <w:r w:rsidR="002E708E">
              <w:rPr>
                <w:rFonts w:ascii="Calibri" w:hAnsi="Calibri" w:cs="Calibri"/>
                <w:b/>
                <w:bCs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7317BA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IV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одлив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пословних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(506 – 501)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Б</w:t>
            </w:r>
            <w:r w:rsidR="00E37A9F" w:rsidRPr="00C45EFA">
              <w:rPr>
                <w:rFonts w:ascii="Calibri" w:hAnsi="Calibri" w:cs="Calibri"/>
                <w:sz w:val="18"/>
                <w:szCs w:val="18"/>
              </w:rPr>
              <w:br/>
            </w:r>
            <w:r w:rsidR="007317BA"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ТОКОВИ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ИНВЕСТИРАЊА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Приливи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инвестирања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(516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до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530)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</w:t>
            </w:r>
            <w:r w:rsidR="00ED0B67">
              <w:rPr>
                <w:rFonts w:ascii="Calibri" w:hAnsi="Calibri" w:cs="Calibri"/>
                <w:b/>
                <w:bCs/>
                <w:sz w:val="18"/>
                <w:szCs w:val="18"/>
              </w:rPr>
              <w:t>0.000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акција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удјела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зависних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придружених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друштава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заједничких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подухвата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некретнина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постројења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опреме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инвестиционих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некретнина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биолошких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нематеријалних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сталних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намијењених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9D7BA1" w:rsidRDefault="009D7BA1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Cyrl-BA"/>
              </w:rPr>
            </w:pPr>
            <w:r>
              <w:rPr>
                <w:rFonts w:ascii="Calibri" w:hAnsi="Calibri" w:cs="Calibri"/>
                <w:sz w:val="18"/>
                <w:szCs w:val="18"/>
                <w:lang w:val="sr-Cyrl-BA"/>
              </w:rPr>
              <w:t>20.000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D0B67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2E708E">
              <w:rPr>
                <w:rFonts w:ascii="Calibri" w:hAnsi="Calibri" w:cs="Calibri"/>
                <w:sz w:val="18"/>
                <w:szCs w:val="18"/>
              </w:rPr>
              <w:t>0.000</w:t>
            </w:r>
            <w:r w:rsidR="00E37A9F"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фер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кроз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укупни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резултат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фер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кроз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биланс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успјеха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амортизованој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лизинга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1C5EEC">
              <w:rPr>
                <w:rFonts w:ascii="Calibri" w:hAnsi="Calibri" w:cs="Calibri"/>
                <w:sz w:val="18"/>
                <w:szCs w:val="18"/>
              </w:rPr>
              <w:t>главница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лизинга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камата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камата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AB7CB3" w:rsidRDefault="00AB7CB3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Latn-BA"/>
              </w:rPr>
            </w:pPr>
            <w:r>
              <w:rPr>
                <w:rFonts w:ascii="Calibri" w:hAnsi="Calibri" w:cs="Calibri"/>
                <w:sz w:val="18"/>
                <w:szCs w:val="18"/>
                <w:lang w:val="sr-Latn-BA"/>
              </w:rPr>
              <w:t>60.000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9D7BA1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sr-Cyrl-BA"/>
              </w:rPr>
              <w:t>6</w:t>
            </w:r>
            <w:r w:rsidR="00ED0B67">
              <w:rPr>
                <w:rFonts w:ascii="Calibri" w:hAnsi="Calibri" w:cs="Calibri"/>
                <w:sz w:val="18"/>
                <w:szCs w:val="18"/>
              </w:rPr>
              <w:t>0.000</w:t>
            </w:r>
            <w:r w:rsidR="00E37A9F"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дивиденди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учешћа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добити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дериватних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инструмената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инвестирања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7317BA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инвестирања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(532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до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541)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215.000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  <w:r w:rsidR="00ED0B67">
              <w:rPr>
                <w:rFonts w:ascii="Calibri" w:hAnsi="Calibri" w:cs="Calibri"/>
                <w:b/>
                <w:bCs/>
                <w:sz w:val="18"/>
                <w:szCs w:val="18"/>
              </w:rPr>
              <w:t>52.000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акција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удјела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зависних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придружених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друштава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заједничких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подухвата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некретнина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постројења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опреме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9D7BA1" w:rsidRDefault="009D7BA1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Cyrl-BA"/>
              </w:rPr>
            </w:pPr>
            <w:r>
              <w:rPr>
                <w:rFonts w:ascii="Calibri" w:hAnsi="Calibri" w:cs="Calibri"/>
                <w:sz w:val="18"/>
                <w:szCs w:val="18"/>
                <w:lang w:val="sr-Cyrl-BA"/>
              </w:rPr>
              <w:t>210.000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2E708E">
              <w:rPr>
                <w:rFonts w:ascii="Calibri" w:hAnsi="Calibri" w:cs="Calibri"/>
                <w:sz w:val="18"/>
                <w:szCs w:val="18"/>
              </w:rPr>
              <w:t>50.000</w:t>
            </w:r>
            <w:r w:rsidR="00E37A9F"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инвестиционих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некретнина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биолошких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куповине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нематеријалних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9D7BA1" w:rsidRDefault="00AB7CB3" w:rsidP="001C5EEC">
            <w:pPr>
              <w:jc w:val="right"/>
              <w:rPr>
                <w:rFonts w:ascii="Calibri" w:hAnsi="Calibri" w:cs="Calibri"/>
                <w:sz w:val="18"/>
                <w:szCs w:val="18"/>
                <w:lang w:val="sr-Cyrl-BA"/>
              </w:rPr>
            </w:pPr>
            <w:r>
              <w:rPr>
                <w:rFonts w:ascii="Calibri" w:hAnsi="Calibri" w:cs="Calibri"/>
                <w:sz w:val="18"/>
                <w:szCs w:val="18"/>
                <w:lang w:val="sr-Latn-BA"/>
              </w:rPr>
              <w:t>5</w:t>
            </w:r>
            <w:r w:rsidR="009D7BA1">
              <w:rPr>
                <w:rFonts w:ascii="Calibri" w:hAnsi="Calibri" w:cs="Calibri"/>
                <w:sz w:val="18"/>
                <w:szCs w:val="18"/>
                <w:lang w:val="sr-Cyrl-BA"/>
              </w:rPr>
              <w:t>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D0B67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2.000</w:t>
            </w:r>
            <w:r w:rsidR="00E37A9F"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фер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кроз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укупни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резултат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фер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кроз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биланс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успјеха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средстава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амортизованој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вриједности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дериватних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финансијских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инструмената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инвестирања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D2237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прилив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инвестирања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(515-531)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D2237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IV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одлив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инвестирања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(531 – 515)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135.000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27</w:t>
            </w:r>
            <w:r w:rsidR="00ED0B67">
              <w:rPr>
                <w:rFonts w:ascii="Calibri" w:hAnsi="Calibri" w:cs="Calibri"/>
                <w:b/>
                <w:bCs/>
                <w:sz w:val="18"/>
                <w:szCs w:val="18"/>
              </w:rPr>
              <w:t>2.000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Б</w:t>
            </w:r>
            <w:r w:rsidR="00E37A9F" w:rsidRPr="00C45EFA">
              <w:rPr>
                <w:rFonts w:ascii="Calibri" w:hAnsi="Calibri" w:cs="Calibri"/>
                <w:sz w:val="18"/>
                <w:szCs w:val="18"/>
              </w:rPr>
              <w:br/>
            </w:r>
            <w:r w:rsidR="00E37A9F" w:rsidRPr="00C45EFA">
              <w:rPr>
                <w:rFonts w:ascii="Calibri" w:hAnsi="Calibri" w:cs="Calibri"/>
                <w:sz w:val="18"/>
                <w:szCs w:val="18"/>
              </w:rPr>
              <w:br/>
            </w:r>
            <w:r w:rsidR="00D2237F"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ТОКОВИ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ФИНАНСИРАЊА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Приливи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финансирања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(545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до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550)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повећања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основног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продаје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откупљених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сопствених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акција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дугорочних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кредита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краткорочних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издатих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дужничких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инструмента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приливи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финансирања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D2237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финансирања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(552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558)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откупа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сопствених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акција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удјела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дугорочних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кредита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краткорочних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кредита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лизинга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дужничких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инструмената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по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основу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исплаћених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дивиденди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 xml:space="preserve">   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Остали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одливи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sz w:val="18"/>
                <w:szCs w:val="18"/>
              </w:rPr>
              <w:t>финансирања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73758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D2237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III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прилив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финансирања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(544 – 551)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D2237F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IV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E37A9F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одлив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из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активности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1C5EEC">
              <w:rPr>
                <w:rFonts w:ascii="Calibri" w:hAnsi="Calibri" w:cs="Calibri"/>
                <w:b/>
                <w:bCs/>
                <w:sz w:val="18"/>
                <w:szCs w:val="18"/>
              </w:rPr>
              <w:t>финансирања</w:t>
            </w: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(551 – 544)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AB7C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Г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УКУПНИ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ПРИЛИВИ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(501 + 515 + 544)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7.923.700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8.120</w:t>
            </w:r>
            <w:r w:rsidR="00ED0B67">
              <w:rPr>
                <w:rFonts w:ascii="Calibri" w:hAnsi="Calibri" w:cs="Calibri"/>
                <w:b/>
                <w:bCs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УКУПНИ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ОДЛИВИ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(506 + 531 + 551)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7.899.600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8.257</w:t>
            </w:r>
            <w:r w:rsidR="00ED0B67">
              <w:rPr>
                <w:rFonts w:ascii="Calibri" w:hAnsi="Calibri" w:cs="Calibri"/>
                <w:b/>
                <w:bCs/>
                <w:sz w:val="18"/>
                <w:szCs w:val="18"/>
              </w:rPr>
              <w:t>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Ђ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ПРИЛИВ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(561 – 562)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24.100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Е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НЕТО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ОДЛИВ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(562 – 561)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45EFA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1E4CEB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137.000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Ж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ПОЧЕТКУ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ОБРАЧУНСКОГ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ПЕРИОДА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5D4247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327.847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D0B67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  <w:r w:rsidR="001E4CEB">
              <w:rPr>
                <w:rFonts w:ascii="Calibri" w:hAnsi="Calibri" w:cs="Calibri"/>
                <w:b/>
                <w:bCs/>
                <w:sz w:val="18"/>
                <w:szCs w:val="18"/>
              </w:rPr>
              <w:t>51.947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ПОЗИТИВНЕ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КУРСНЕ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РАЗЛИКЕ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ОСНОВУ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ПРЕРАЧУНА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И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НЕГАТИВНЕ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КУРСНЕ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РАЗЛИКЕ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ПО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ОСНОВУ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ПРЕРАЧУНА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A9F" w:rsidRPr="00737581" w:rsidRDefault="00E37A9F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758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37A9F" w:rsidRPr="00C45EFA" w:rsidTr="00C2384F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Ј</w:t>
            </w:r>
          </w:p>
        </w:tc>
        <w:tc>
          <w:tcPr>
            <w:tcW w:w="609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vAlign w:val="center"/>
            <w:hideMark/>
          </w:tcPr>
          <w:p w:rsidR="00E37A9F" w:rsidRPr="00C45EFA" w:rsidRDefault="001C5EEC" w:rsidP="001C5EE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ГОТОВИНА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НА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КРАЈУ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ОБРАЧУНСКОГ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ПЕРИОДА</w:t>
            </w:r>
            <w:r w:rsidR="00E37A9F"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(565 + 563 – 564 + 566 – 567)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noWrap/>
            <w:vAlign w:val="center"/>
            <w:hideMark/>
          </w:tcPr>
          <w:p w:rsidR="00E37A9F" w:rsidRPr="00C45EFA" w:rsidRDefault="00E37A9F" w:rsidP="001C5EE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45EFA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000000" w:fill="EAEAEA"/>
            <w:noWrap/>
            <w:vAlign w:val="center"/>
          </w:tcPr>
          <w:p w:rsidR="00E37A9F" w:rsidRPr="00737581" w:rsidRDefault="008B14B3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351.947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  <w:hideMark/>
          </w:tcPr>
          <w:p w:rsidR="00E37A9F" w:rsidRPr="00737581" w:rsidRDefault="00B81AD2" w:rsidP="001C5EEC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214.947</w:t>
            </w:r>
          </w:p>
        </w:tc>
      </w:tr>
    </w:tbl>
    <w:p w:rsidR="00B0537D" w:rsidRPr="002B6492" w:rsidRDefault="002B6492" w:rsidP="00B0537D">
      <w:pPr>
        <w:ind w:hanging="90"/>
        <w:rPr>
          <w:lang w:val="sr-Latn-BA"/>
        </w:rPr>
      </w:pPr>
      <w:r>
        <w:rPr>
          <w:lang w:val="sr-Cyrl-CS"/>
        </w:rPr>
        <w:t xml:space="preserve">Табела број </w:t>
      </w:r>
      <w:r>
        <w:rPr>
          <w:lang w:val="sr-Latn-BA"/>
        </w:rPr>
        <w:t>5</w:t>
      </w:r>
      <w:r>
        <w:rPr>
          <w:lang w:val="sr-Cyrl-CS"/>
        </w:rPr>
        <w:t xml:space="preserve"> – </w:t>
      </w:r>
      <w:r>
        <w:rPr>
          <w:lang w:val="sr-Cyrl-BA"/>
        </w:rPr>
        <w:t>План</w:t>
      </w:r>
      <w:r w:rsidR="00B0537D" w:rsidRPr="002B6492">
        <w:rPr>
          <w:lang w:val="sr-Cyrl-CS"/>
        </w:rPr>
        <w:t xml:space="preserve"> новчани</w:t>
      </w:r>
      <w:r>
        <w:rPr>
          <w:lang w:val="sr-Cyrl-CS"/>
        </w:rPr>
        <w:t>х</w:t>
      </w:r>
      <w:r w:rsidR="00B0537D" w:rsidRPr="002B6492">
        <w:rPr>
          <w:lang w:val="sr-Cyrl-CS"/>
        </w:rPr>
        <w:t xml:space="preserve"> токов</w:t>
      </w:r>
      <w:r>
        <w:rPr>
          <w:lang w:val="sr-Cyrl-CS"/>
        </w:rPr>
        <w:t>а</w:t>
      </w:r>
    </w:p>
    <w:p w:rsidR="00B0537D" w:rsidRDefault="00B0537D" w:rsidP="00B0537D"/>
    <w:p w:rsidR="00B0537D" w:rsidRDefault="00B0537D" w:rsidP="00B0537D"/>
    <w:p w:rsidR="00B0537D" w:rsidRDefault="00B0537D" w:rsidP="00B0537D"/>
    <w:p w:rsidR="00B0537D" w:rsidRDefault="00B0537D" w:rsidP="00B0537D"/>
    <w:p w:rsidR="00A403FA" w:rsidRPr="00B0537D" w:rsidRDefault="00A403FA" w:rsidP="00DD09B0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8" w:name="_Toc153538045"/>
      <w:bookmarkStart w:id="19" w:name="_Toc58233146"/>
      <w:r>
        <w:rPr>
          <w:rFonts w:ascii="Times New Roman" w:hAnsi="Times New Roman"/>
          <w:sz w:val="24"/>
          <w:szCs w:val="24"/>
          <w:lang w:val="sr-Latn-CS"/>
        </w:rPr>
        <w:lastRenderedPageBreak/>
        <w:t>IX</w:t>
      </w:r>
      <w:r w:rsidRPr="002867C5">
        <w:rPr>
          <w:rFonts w:ascii="Times New Roman" w:hAnsi="Times New Roman"/>
          <w:sz w:val="24"/>
          <w:szCs w:val="24"/>
          <w:lang w:val="sr-Latn-CS"/>
        </w:rPr>
        <w:t xml:space="preserve"> –</w:t>
      </w:r>
      <w:r>
        <w:rPr>
          <w:rFonts w:ascii="Times New Roman" w:hAnsi="Times New Roman"/>
          <w:sz w:val="24"/>
          <w:szCs w:val="24"/>
          <w:lang w:val="sr-Cyrl-BA"/>
        </w:rPr>
        <w:t xml:space="preserve"> ПЛАН УПРАВЉАЊА РИЗИЦИМА</w:t>
      </w:r>
      <w:bookmarkEnd w:id="18"/>
      <w:r w:rsidRPr="002867C5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bookmarkEnd w:id="19"/>
    <w:p w:rsidR="00A403FA" w:rsidRDefault="00A403FA" w:rsidP="00A403FA">
      <w:pPr>
        <w:pStyle w:val="NoSpacing"/>
        <w:rPr>
          <w:lang w:val="sr-Cyrl-BA"/>
        </w:rPr>
      </w:pPr>
    </w:p>
    <w:p w:rsidR="00A403FA" w:rsidRDefault="00A403FA" w:rsidP="00A403FA">
      <w:pPr>
        <w:pStyle w:val="NoSpacing"/>
        <w:jc w:val="both"/>
        <w:rPr>
          <w:lang w:val="sr-Cyrl-BA"/>
        </w:rPr>
      </w:pPr>
      <w:r>
        <w:rPr>
          <w:lang w:val="sr-Cyrl-BA"/>
        </w:rPr>
        <w:tab/>
        <w:t xml:space="preserve">Кроз израду планских докумената Друштво поставља одређене циљеве пословања. Да би се остварили циљеви пословања важно је ефикасно планирати потенцијалне ризике у пословању и благовремено управљати њима. </w:t>
      </w:r>
    </w:p>
    <w:p w:rsidR="00A403FA" w:rsidRDefault="00A403FA" w:rsidP="00A403FA">
      <w:pPr>
        <w:pStyle w:val="NoSpacing"/>
        <w:jc w:val="both"/>
        <w:rPr>
          <w:lang w:val="sr-Cyrl-BA"/>
        </w:rPr>
      </w:pPr>
      <w:r>
        <w:rPr>
          <w:lang w:val="sr-Cyrl-BA"/>
        </w:rPr>
        <w:tab/>
        <w:t>У овом плану пословања посебна пажња је усмјерена на финансијске ризике, којим је Друштво највише изложено у току планске године.</w:t>
      </w:r>
    </w:p>
    <w:p w:rsidR="00B0537D" w:rsidRPr="00C05E8A" w:rsidRDefault="00A403FA" w:rsidP="00B0537D">
      <w:pPr>
        <w:spacing w:after="120"/>
        <w:rPr>
          <w:lang w:val="sr-Cyrl-BA"/>
        </w:rPr>
      </w:pPr>
      <w:r>
        <w:rPr>
          <w:lang w:val="sr-Cyrl-BA"/>
        </w:rPr>
        <w:tab/>
      </w:r>
      <w:r w:rsidR="00B0537D" w:rsidRPr="00C05E8A">
        <w:rPr>
          <w:lang w:val="sr-Cyrl-BA"/>
        </w:rPr>
        <w:t>Финансијски ризици коју су обухваћени Планом пословања су:</w:t>
      </w:r>
    </w:p>
    <w:p w:rsidR="00B0537D" w:rsidRPr="00A403FA" w:rsidRDefault="00B0537D" w:rsidP="00B0537D">
      <w:pPr>
        <w:pStyle w:val="ListParagraph"/>
        <w:numPr>
          <w:ilvl w:val="0"/>
          <w:numId w:val="28"/>
        </w:numPr>
        <w:jc w:val="both"/>
        <w:rPr>
          <w:szCs w:val="24"/>
          <w:u w:val="none"/>
          <w:lang w:val="sr-Cyrl-BA"/>
        </w:rPr>
      </w:pPr>
      <w:r w:rsidRPr="00A403FA">
        <w:rPr>
          <w:szCs w:val="24"/>
          <w:u w:val="none"/>
          <w:lang w:val="sr-Cyrl-BA"/>
        </w:rPr>
        <w:t>Кредитни ризик</w:t>
      </w:r>
      <w:r w:rsidR="00A403FA">
        <w:rPr>
          <w:szCs w:val="24"/>
          <w:u w:val="none"/>
          <w:lang w:val="sr-Cyrl-BA"/>
        </w:rPr>
        <w:t>,</w:t>
      </w:r>
    </w:p>
    <w:p w:rsidR="00B0537D" w:rsidRPr="00A403FA" w:rsidRDefault="00B0537D" w:rsidP="00B0537D">
      <w:pPr>
        <w:pStyle w:val="ListParagraph"/>
        <w:numPr>
          <w:ilvl w:val="0"/>
          <w:numId w:val="28"/>
        </w:numPr>
        <w:jc w:val="both"/>
        <w:rPr>
          <w:szCs w:val="24"/>
          <w:u w:val="none"/>
          <w:lang w:val="sr-Cyrl-BA"/>
        </w:rPr>
      </w:pPr>
      <w:r w:rsidRPr="00A403FA">
        <w:rPr>
          <w:szCs w:val="24"/>
          <w:u w:val="none"/>
          <w:lang w:val="sr-Cyrl-BA"/>
        </w:rPr>
        <w:t>Цјеновни ризик</w:t>
      </w:r>
      <w:r w:rsidR="00DD09B0">
        <w:rPr>
          <w:szCs w:val="24"/>
          <w:u w:val="none"/>
          <w:lang w:val="sr-Cyrl-BA"/>
        </w:rPr>
        <w:t xml:space="preserve"> и</w:t>
      </w:r>
    </w:p>
    <w:p w:rsidR="00B0537D" w:rsidRPr="00A403FA" w:rsidRDefault="00DD09B0" w:rsidP="00B0537D">
      <w:pPr>
        <w:pStyle w:val="ListParagraph"/>
        <w:numPr>
          <w:ilvl w:val="0"/>
          <w:numId w:val="28"/>
        </w:numPr>
        <w:jc w:val="both"/>
        <w:rPr>
          <w:szCs w:val="24"/>
          <w:u w:val="none"/>
          <w:lang w:val="sr-Cyrl-BA"/>
        </w:rPr>
      </w:pPr>
      <w:r>
        <w:rPr>
          <w:szCs w:val="24"/>
          <w:u w:val="none"/>
          <w:lang w:val="sr-Cyrl-BA"/>
        </w:rPr>
        <w:t>Ризик ликвидност</w:t>
      </w:r>
      <w:r w:rsidR="00B0537D" w:rsidRPr="00A403FA">
        <w:rPr>
          <w:szCs w:val="24"/>
          <w:u w:val="none"/>
          <w:lang w:val="sr-Cyrl-BA"/>
        </w:rPr>
        <w:t>и</w:t>
      </w:r>
      <w:r>
        <w:rPr>
          <w:szCs w:val="24"/>
          <w:u w:val="none"/>
          <w:lang w:val="sr-Cyrl-BA"/>
        </w:rPr>
        <w:t>.</w:t>
      </w:r>
      <w:r w:rsidR="00B0537D" w:rsidRPr="00A403FA">
        <w:rPr>
          <w:szCs w:val="24"/>
          <w:u w:val="none"/>
          <w:lang w:val="sr-Cyrl-BA"/>
        </w:rPr>
        <w:t xml:space="preserve"> </w:t>
      </w:r>
    </w:p>
    <w:p w:rsidR="00B0537D" w:rsidRPr="00A403FA" w:rsidRDefault="00B0537D" w:rsidP="00A403FA">
      <w:pPr>
        <w:pStyle w:val="Heading2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bookmarkStart w:id="20" w:name="_Toc58233147"/>
      <w:bookmarkStart w:id="21" w:name="_Toc153538046"/>
      <w:r w:rsidRPr="00A403FA">
        <w:rPr>
          <w:rFonts w:ascii="Times New Roman" w:hAnsi="Times New Roman"/>
          <w:sz w:val="24"/>
          <w:szCs w:val="24"/>
          <w:lang w:val="sr-Cyrl-BA"/>
        </w:rPr>
        <w:t>Кредитни ризик</w:t>
      </w:r>
      <w:bookmarkEnd w:id="20"/>
      <w:bookmarkEnd w:id="21"/>
    </w:p>
    <w:p w:rsidR="00B0537D" w:rsidRPr="00C05E8A" w:rsidRDefault="00A403FA" w:rsidP="00A403FA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B0537D" w:rsidRPr="00C05E8A">
        <w:rPr>
          <w:lang w:val="sr-Cyrl-BA"/>
        </w:rPr>
        <w:t>Кредитни ризик, подразумјева ризик промјене кредитне способности купца или дужника који може утицати на промјену вриједности фин</w:t>
      </w:r>
      <w:r w:rsidR="003E542D">
        <w:rPr>
          <w:lang w:val="sr-Cyrl-BA"/>
        </w:rPr>
        <w:t>ансијске имовине повјериоца. П</w:t>
      </w:r>
      <w:r w:rsidR="00B0537D" w:rsidRPr="00C05E8A">
        <w:rPr>
          <w:lang w:val="sr-Cyrl-BA"/>
        </w:rPr>
        <w:t xml:space="preserve">оред чињенице да ово Друштво не врши кредитирање својих купаца у класичном смислу те ријечи, присутна је изложеност овом ризику у погледу немогућности </w:t>
      </w:r>
      <w:r w:rsidR="003E542D">
        <w:rPr>
          <w:lang w:val="sr-Cyrl-BA"/>
        </w:rPr>
        <w:t xml:space="preserve">потпуне </w:t>
      </w:r>
      <w:r w:rsidR="00B0537D" w:rsidRPr="00C05E8A">
        <w:rPr>
          <w:lang w:val="sr-Cyrl-BA"/>
        </w:rPr>
        <w:t>наплате својих потраживања</w:t>
      </w:r>
      <w:r w:rsidR="003E542D">
        <w:rPr>
          <w:lang w:val="sr-Cyrl-BA"/>
        </w:rPr>
        <w:t>,</w:t>
      </w:r>
      <w:r w:rsidR="00B0537D" w:rsidRPr="00C05E8A">
        <w:rPr>
          <w:lang w:val="sr-Cyrl-BA"/>
        </w:rPr>
        <w:t xml:space="preserve"> будући да се ради о услугама од општег друштвеног значаја као и чињенице да се пружање услуга не може условити претходном анализом кредитне способности купца. </w:t>
      </w:r>
    </w:p>
    <w:p w:rsidR="003E542D" w:rsidRDefault="003E542D" w:rsidP="00A403FA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B0537D" w:rsidRPr="00C05E8A">
        <w:rPr>
          <w:lang w:val="sr-Cyrl-BA"/>
        </w:rPr>
        <w:t xml:space="preserve">У том смислу, ово Друштво треба </w:t>
      </w:r>
      <w:r w:rsidR="00B0537D">
        <w:rPr>
          <w:lang w:val="sr-Cyrl-BA"/>
        </w:rPr>
        <w:t xml:space="preserve">наставити са предузимањем </w:t>
      </w:r>
      <w:r w:rsidR="00B0537D" w:rsidRPr="00C05E8A">
        <w:rPr>
          <w:lang w:val="sr-Cyrl-BA"/>
        </w:rPr>
        <w:t>неколико, међусобно условљених активности, које би биле усмјерена или на потпуном уклањањ</w:t>
      </w:r>
      <w:r w:rsidR="00B0537D" w:rsidRPr="00C05E8A">
        <w:rPr>
          <w:lang w:val="sr-Latn-BA"/>
        </w:rPr>
        <w:t>e</w:t>
      </w:r>
      <w:r w:rsidR="00B0537D" w:rsidRPr="00C05E8A">
        <w:rPr>
          <w:lang w:val="sr-Cyrl-BA"/>
        </w:rPr>
        <w:t xml:space="preserve"> кредитног ризика (уколико је то уопште могуће) или на ублажавању степена његовог остварења у наредном периоду. </w:t>
      </w:r>
    </w:p>
    <w:p w:rsidR="003E542D" w:rsidRDefault="003E542D" w:rsidP="00A403FA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B0537D" w:rsidRPr="00C05E8A">
        <w:rPr>
          <w:lang w:val="sr-Cyrl-BA"/>
        </w:rPr>
        <w:t xml:space="preserve">Неке од мјера </w:t>
      </w:r>
      <w:r>
        <w:rPr>
          <w:lang w:val="sr-Cyrl-BA"/>
        </w:rPr>
        <w:t xml:space="preserve">управљања кредитним ризиком, </w:t>
      </w:r>
      <w:r w:rsidR="00B0537D" w:rsidRPr="00C05E8A">
        <w:rPr>
          <w:lang w:val="sr-Cyrl-BA"/>
        </w:rPr>
        <w:t xml:space="preserve">које су се у претходном периоду показале као </w:t>
      </w:r>
      <w:r>
        <w:rPr>
          <w:lang w:val="sr-Cyrl-BA"/>
        </w:rPr>
        <w:t xml:space="preserve">успјешне, су: </w:t>
      </w:r>
    </w:p>
    <w:p w:rsidR="003E542D" w:rsidRPr="003E542D" w:rsidRDefault="00702062" w:rsidP="003E542D">
      <w:pPr>
        <w:pStyle w:val="ListParagraph"/>
        <w:numPr>
          <w:ilvl w:val="0"/>
          <w:numId w:val="31"/>
        </w:numPr>
        <w:spacing w:after="120"/>
        <w:jc w:val="both"/>
        <w:rPr>
          <w:u w:val="none"/>
          <w:lang w:val="sr-Cyrl-BA"/>
        </w:rPr>
      </w:pPr>
      <w:r>
        <w:rPr>
          <w:u w:val="none"/>
          <w:lang w:val="sr-Cyrl-BA"/>
        </w:rPr>
        <w:t>З</w:t>
      </w:r>
      <w:r w:rsidR="00B0537D" w:rsidRPr="003E542D">
        <w:rPr>
          <w:u w:val="none"/>
          <w:lang w:val="sr-Cyrl-BA"/>
        </w:rPr>
        <w:t xml:space="preserve">акључење уговора о пружању комуналних услуга </w:t>
      </w:r>
      <w:r w:rsidR="003E542D" w:rsidRPr="003E542D">
        <w:rPr>
          <w:u w:val="none"/>
          <w:lang w:val="sr-Cyrl-BA"/>
        </w:rPr>
        <w:t xml:space="preserve">одвоза отпада </w:t>
      </w:r>
      <w:r w:rsidR="00B0537D" w:rsidRPr="003E542D">
        <w:rPr>
          <w:u w:val="none"/>
          <w:lang w:val="sr-Cyrl-BA"/>
        </w:rPr>
        <w:t>са</w:t>
      </w:r>
      <w:r w:rsidR="003E542D" w:rsidRPr="003E542D">
        <w:rPr>
          <w:u w:val="none"/>
          <w:lang w:val="sr-Cyrl-BA"/>
        </w:rPr>
        <w:t xml:space="preserve"> крајњим</w:t>
      </w:r>
      <w:r w:rsidR="00B0537D" w:rsidRPr="003E542D">
        <w:rPr>
          <w:u w:val="none"/>
          <w:lang w:val="sr-Cyrl-BA"/>
        </w:rPr>
        <w:t xml:space="preserve"> потрошачима</w:t>
      </w:r>
      <w:r w:rsidR="003E542D">
        <w:rPr>
          <w:u w:val="none"/>
          <w:lang w:val="sr-Cyrl-BA"/>
        </w:rPr>
        <w:t>,</w:t>
      </w:r>
      <w:r w:rsidR="00B0537D" w:rsidRPr="003E542D">
        <w:rPr>
          <w:u w:val="none"/>
          <w:lang w:val="sr-Cyrl-BA"/>
        </w:rPr>
        <w:t xml:space="preserve"> са којима до сада ти уговори нису з</w:t>
      </w:r>
      <w:r w:rsidR="003E542D" w:rsidRPr="003E542D">
        <w:rPr>
          <w:u w:val="none"/>
          <w:lang w:val="sr-Cyrl-BA"/>
        </w:rPr>
        <w:t>акључени, чиме се писаним путем регулишу права и обавезе. На овај начин се осигурава наплата потраживања судским путем, јер је увијек присутан проблем доказивања извршене услуге</w:t>
      </w:r>
      <w:r w:rsidR="003E542D">
        <w:rPr>
          <w:u w:val="none"/>
          <w:lang w:val="sr-Cyrl-BA"/>
        </w:rPr>
        <w:t>;</w:t>
      </w:r>
    </w:p>
    <w:p w:rsidR="00702062" w:rsidRPr="00702062" w:rsidRDefault="003E542D" w:rsidP="003E542D">
      <w:pPr>
        <w:pStyle w:val="ListParagraph"/>
        <w:numPr>
          <w:ilvl w:val="0"/>
          <w:numId w:val="31"/>
        </w:numPr>
        <w:spacing w:after="120"/>
        <w:jc w:val="both"/>
        <w:rPr>
          <w:lang w:val="sr-Cyrl-BA"/>
        </w:rPr>
      </w:pPr>
      <w:r w:rsidRPr="003E542D">
        <w:rPr>
          <w:u w:val="none"/>
          <w:lang w:val="sr-Latn-BA" w:eastAsia="sr-Latn-BA"/>
        </w:rPr>
        <w:t>Редовно ажурира</w:t>
      </w:r>
      <w:r w:rsidR="00702062">
        <w:rPr>
          <w:u w:val="none"/>
          <w:lang w:val="sr-Cyrl-BA" w:eastAsia="sr-Latn-BA"/>
        </w:rPr>
        <w:t>ње</w:t>
      </w:r>
      <w:r w:rsidRPr="003E542D">
        <w:rPr>
          <w:u w:val="none"/>
          <w:lang w:val="sr-Latn-BA" w:eastAsia="sr-Latn-BA"/>
        </w:rPr>
        <w:t xml:space="preserve"> баз</w:t>
      </w:r>
      <w:r w:rsidR="00702062">
        <w:rPr>
          <w:u w:val="none"/>
          <w:lang w:val="sr-Cyrl-BA" w:eastAsia="sr-Latn-BA"/>
        </w:rPr>
        <w:t>е</w:t>
      </w:r>
      <w:r w:rsidRPr="003E542D">
        <w:rPr>
          <w:u w:val="none"/>
          <w:lang w:val="sr-Latn-BA" w:eastAsia="sr-Latn-BA"/>
        </w:rPr>
        <w:t xml:space="preserve"> података корисника услуга, како би се створили основни услови за континуиране </w:t>
      </w:r>
      <w:r w:rsidRPr="003E542D">
        <w:rPr>
          <w:i/>
          <w:u w:val="none"/>
          <w:lang w:val="sr-Latn-BA" w:eastAsia="sr-Latn-BA"/>
        </w:rPr>
        <w:t>активности на утуживању правних и физичких лица</w:t>
      </w:r>
      <w:r w:rsidR="00702062">
        <w:rPr>
          <w:i/>
          <w:u w:val="none"/>
          <w:lang w:val="sr-Cyrl-BA" w:eastAsia="sr-Latn-BA"/>
        </w:rPr>
        <w:t>;</w:t>
      </w:r>
    </w:p>
    <w:p w:rsidR="00702062" w:rsidRPr="00702062" w:rsidRDefault="00702062" w:rsidP="00A403FA">
      <w:pPr>
        <w:pStyle w:val="ListParagraph"/>
        <w:numPr>
          <w:ilvl w:val="0"/>
          <w:numId w:val="31"/>
        </w:numPr>
        <w:spacing w:after="120"/>
        <w:jc w:val="both"/>
        <w:rPr>
          <w:lang w:val="sr-Cyrl-BA"/>
        </w:rPr>
      </w:pPr>
      <w:r w:rsidRPr="00702062">
        <w:rPr>
          <w:u w:val="none"/>
          <w:lang w:val="sr-Cyrl-BA"/>
        </w:rPr>
        <w:t>Преко одјељења за наплату потраживања, односно шефа за наплату обезбједити ефикасан систем праћења старосне стуктуре потраживања и предузимање благовремених активности, како поједина потраживања не би дошла у застару</w:t>
      </w:r>
      <w:r>
        <w:rPr>
          <w:u w:val="none"/>
          <w:lang w:val="sr-Cyrl-BA"/>
        </w:rPr>
        <w:t xml:space="preserve"> и</w:t>
      </w:r>
    </w:p>
    <w:p w:rsidR="00B0537D" w:rsidRPr="00702062" w:rsidRDefault="00702062" w:rsidP="00A403FA">
      <w:pPr>
        <w:pStyle w:val="ListParagraph"/>
        <w:numPr>
          <w:ilvl w:val="0"/>
          <w:numId w:val="31"/>
        </w:numPr>
        <w:spacing w:after="120"/>
        <w:jc w:val="both"/>
        <w:rPr>
          <w:lang w:val="sr-Cyrl-BA"/>
        </w:rPr>
      </w:pPr>
      <w:r w:rsidRPr="00702062">
        <w:rPr>
          <w:u w:val="none"/>
          <w:lang w:val="sr-Cyrl-BA"/>
        </w:rPr>
        <w:t>Од правних лица, са посебним акцентом на друштва са ограниченом одговоности, приликом закључења уговора, узимати бјанко мјеницу, је се често дешава да правни су</w:t>
      </w:r>
      <w:r w:rsidR="00B81AD2">
        <w:rPr>
          <w:u w:val="none"/>
          <w:lang w:val="sr-Cyrl-BA"/>
        </w:rPr>
        <w:t>б</w:t>
      </w:r>
      <w:r w:rsidRPr="00702062">
        <w:rPr>
          <w:u w:val="none"/>
          <w:lang w:val="sr-Cyrl-BA"/>
        </w:rPr>
        <w:t xml:space="preserve">јекти </w:t>
      </w:r>
      <w:r w:rsidR="00B0537D" w:rsidRPr="00702062">
        <w:rPr>
          <w:u w:val="none"/>
          <w:lang w:val="sr-Cyrl-BA"/>
        </w:rPr>
        <w:t>због лоше економске и тржишне ситуације, врло лако долазе у тешка финансијско – материјална стања.</w:t>
      </w:r>
    </w:p>
    <w:p w:rsidR="00B0537D" w:rsidRDefault="00B0537D" w:rsidP="00B0537D">
      <w:pPr>
        <w:rPr>
          <w:lang w:val="sr-Latn-BA"/>
        </w:rPr>
      </w:pPr>
    </w:p>
    <w:p w:rsidR="00543539" w:rsidRPr="00A403FA" w:rsidRDefault="00543539" w:rsidP="00543539">
      <w:pPr>
        <w:pStyle w:val="Heading2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</w:t>
      </w:r>
      <w:bookmarkStart w:id="22" w:name="_Toc153538047"/>
      <w:r>
        <w:rPr>
          <w:rFonts w:ascii="Times New Roman" w:hAnsi="Times New Roman"/>
          <w:sz w:val="24"/>
          <w:szCs w:val="24"/>
          <w:lang w:val="sr-Cyrl-BA"/>
        </w:rPr>
        <w:t xml:space="preserve">Цјеновни </w:t>
      </w:r>
      <w:r w:rsidRPr="00A403FA">
        <w:rPr>
          <w:rFonts w:ascii="Times New Roman" w:hAnsi="Times New Roman"/>
          <w:sz w:val="24"/>
          <w:szCs w:val="24"/>
          <w:lang w:val="sr-Cyrl-BA"/>
        </w:rPr>
        <w:t>ризик</w:t>
      </w:r>
      <w:bookmarkEnd w:id="22"/>
    </w:p>
    <w:p w:rsidR="001F4E2D" w:rsidRDefault="00543539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  <w:t>Основни цјеновни ризик са којим се сусреће ово Друштво, везан је за начин формирања цијена комуналних услуга</w:t>
      </w:r>
      <w:r w:rsidR="00450E6D">
        <w:rPr>
          <w:lang w:val="sr-Cyrl-BA"/>
        </w:rPr>
        <w:t xml:space="preserve"> одвоза отпада</w:t>
      </w:r>
      <w:r>
        <w:rPr>
          <w:lang w:val="sr-Cyrl-BA"/>
        </w:rPr>
        <w:t xml:space="preserve">, односно поступак добијања сагласности на цјеновнике комуналних услуга, гдје Скупштина Града Бијељина даје сагласност на цијене комуналних услуга. </w:t>
      </w:r>
    </w:p>
    <w:p w:rsidR="001F4E2D" w:rsidRDefault="001F4E2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543539">
        <w:rPr>
          <w:lang w:val="sr-Cyrl-BA"/>
        </w:rPr>
        <w:t xml:space="preserve">Од момента </w:t>
      </w:r>
      <w:r w:rsidR="00450E6D">
        <w:rPr>
          <w:lang w:val="sr-Cyrl-BA"/>
        </w:rPr>
        <w:t>израде и усвајања планских докумената</w:t>
      </w:r>
      <w:r>
        <w:rPr>
          <w:lang w:val="sr-Cyrl-BA"/>
        </w:rPr>
        <w:t xml:space="preserve">, када </w:t>
      </w:r>
      <w:r w:rsidR="00450E6D">
        <w:rPr>
          <w:lang w:val="sr-Cyrl-BA"/>
        </w:rPr>
        <w:t>Управа Друштва утврди економски оправдану цијену и хитно предложи цјеновнике комуналних услуга</w:t>
      </w:r>
      <w:r w:rsidR="00543539">
        <w:rPr>
          <w:lang w:val="sr-Cyrl-BA"/>
        </w:rPr>
        <w:t xml:space="preserve"> у даљу процедуру</w:t>
      </w:r>
      <w:r w:rsidR="00450E6D">
        <w:rPr>
          <w:lang w:val="sr-Cyrl-BA"/>
        </w:rPr>
        <w:t>,</w:t>
      </w:r>
      <w:r w:rsidR="00543539">
        <w:rPr>
          <w:lang w:val="sr-Cyrl-BA"/>
        </w:rPr>
        <w:t xml:space="preserve"> па до момента давање сагласности на исте (</w:t>
      </w:r>
      <w:r>
        <w:rPr>
          <w:lang w:val="sr-Cyrl-BA"/>
        </w:rPr>
        <w:t>уколико с</w:t>
      </w:r>
      <w:r w:rsidR="00543539">
        <w:rPr>
          <w:lang w:val="sr-Cyrl-BA"/>
        </w:rPr>
        <w:t>е уопште и добије)</w:t>
      </w:r>
      <w:r w:rsidR="00450E6D">
        <w:rPr>
          <w:lang w:val="sr-Cyrl-BA"/>
        </w:rPr>
        <w:t>,</w:t>
      </w:r>
      <w:r w:rsidR="00543539">
        <w:rPr>
          <w:lang w:val="sr-Cyrl-BA"/>
        </w:rPr>
        <w:t xml:space="preserve"> неријетко прође више од годину дана, чиме се озбиљно угрожава пословање овог Друштва. </w:t>
      </w:r>
    </w:p>
    <w:p w:rsidR="001F4E2D" w:rsidRDefault="001F4E2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543539">
        <w:rPr>
          <w:lang w:val="sr-Cyrl-BA"/>
        </w:rPr>
        <w:t>У посљедњих неколико година присутна је велика инфлација, односно некотролисан раст појединих</w:t>
      </w:r>
      <w:r>
        <w:rPr>
          <w:lang w:val="sr-Cyrl-BA"/>
        </w:rPr>
        <w:t xml:space="preserve"> цијена, од којих је потребно истаћи</w:t>
      </w:r>
      <w:r w:rsidR="00543539">
        <w:rPr>
          <w:lang w:val="sr-Cyrl-BA"/>
        </w:rPr>
        <w:t xml:space="preserve"> цијене горива, мазива, резервних дијелова и других материјала који су веома заступљени у структури трошкова Друштва. </w:t>
      </w:r>
    </w:p>
    <w:p w:rsidR="001F4E2D" w:rsidRDefault="001F4E2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543539">
        <w:rPr>
          <w:lang w:val="sr-Cyrl-BA"/>
        </w:rPr>
        <w:t xml:space="preserve">Узимајући у обзир услужну дјелатност, којом се ово Друштво бави, и велику заступљеност физичке радне снаге, која је неопходна за благовремено и квалитетно пружање услуга, те </w:t>
      </w:r>
      <w:r>
        <w:rPr>
          <w:lang w:val="sr-Cyrl-BA"/>
        </w:rPr>
        <w:t>стални раст најниже плате</w:t>
      </w:r>
      <w:r w:rsidR="00B81AD2">
        <w:rPr>
          <w:lang w:val="sr-Cyrl-BA"/>
        </w:rPr>
        <w:t xml:space="preserve"> и условно повећање плата осталим радницима</w:t>
      </w:r>
      <w:r>
        <w:rPr>
          <w:lang w:val="sr-Cyrl-BA"/>
        </w:rPr>
        <w:t>, те да трошкови бруто зарада чине више од 50% укупних расхода, долази се до закључка да се давање сагласности на цијене комуналних услуга не може одлагати, него да се оваква питања морају рјешавати као хитне тачке дневног реда Скупштине</w:t>
      </w:r>
      <w:r w:rsidR="00450E6D">
        <w:rPr>
          <w:lang w:val="sr-Cyrl-BA"/>
        </w:rPr>
        <w:t xml:space="preserve"> Града Бијељина</w:t>
      </w:r>
      <w:r>
        <w:rPr>
          <w:lang w:val="sr-Cyrl-BA"/>
        </w:rPr>
        <w:t xml:space="preserve">. </w:t>
      </w:r>
    </w:p>
    <w:p w:rsidR="001647AD" w:rsidRDefault="001F4E2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  <w:t xml:space="preserve">У а.д. „Комуналац“ Бијељина </w:t>
      </w:r>
      <w:r w:rsidR="00B81AD2">
        <w:rPr>
          <w:lang w:val="sr-Cyrl-BA"/>
        </w:rPr>
        <w:t>у примјени су цјеновници из 2023</w:t>
      </w:r>
      <w:r>
        <w:rPr>
          <w:lang w:val="sr-Cyrl-BA"/>
        </w:rPr>
        <w:t>. године. Процедура усвајања нових цјеновника</w:t>
      </w:r>
      <w:r w:rsidR="001647AD">
        <w:rPr>
          <w:lang w:val="sr-Cyrl-BA"/>
        </w:rPr>
        <w:t xml:space="preserve">, од стране Управе </w:t>
      </w:r>
      <w:r w:rsidR="00335FDB">
        <w:rPr>
          <w:lang w:val="sr-Cyrl-BA"/>
        </w:rPr>
        <w:t>Д</w:t>
      </w:r>
      <w:r w:rsidR="00450E6D">
        <w:rPr>
          <w:lang w:val="sr-Cyrl-BA"/>
        </w:rPr>
        <w:t>руштва</w:t>
      </w:r>
      <w:r>
        <w:rPr>
          <w:lang w:val="sr-Cyrl-BA"/>
        </w:rPr>
        <w:t xml:space="preserve"> </w:t>
      </w:r>
      <w:r w:rsidR="00B81AD2">
        <w:rPr>
          <w:lang w:val="sr-Cyrl-BA"/>
        </w:rPr>
        <w:t>ниј</w:t>
      </w:r>
      <w:r>
        <w:rPr>
          <w:lang w:val="sr-Cyrl-BA"/>
        </w:rPr>
        <w:t>е покренута до дана израде овог Плана</w:t>
      </w:r>
      <w:r w:rsidR="00B81AD2">
        <w:rPr>
          <w:lang w:val="sr-Cyrl-BA"/>
        </w:rPr>
        <w:t>, јер се по основу постојећих цијена могу финансирати планирани расходи за 2025. годину</w:t>
      </w:r>
      <w:r>
        <w:rPr>
          <w:lang w:val="sr-Cyrl-BA"/>
        </w:rPr>
        <w:t xml:space="preserve">. </w:t>
      </w:r>
      <w:r w:rsidR="00B81AD2">
        <w:rPr>
          <w:lang w:val="sr-Cyrl-BA"/>
        </w:rPr>
        <w:t xml:space="preserve">Уколико се реализује </w:t>
      </w:r>
      <w:r w:rsidR="001647AD">
        <w:rPr>
          <w:lang w:val="sr-Cyrl-BA"/>
        </w:rPr>
        <w:t>најављено повећање најниже плате</w:t>
      </w:r>
      <w:r w:rsidR="009C0487">
        <w:rPr>
          <w:lang w:val="sr-Cyrl-BA"/>
        </w:rPr>
        <w:t xml:space="preserve"> од јануара 2025. године</w:t>
      </w:r>
      <w:r w:rsidR="001647AD">
        <w:rPr>
          <w:lang w:val="sr-Cyrl-BA"/>
        </w:rPr>
        <w:t xml:space="preserve">, које још увијек није утврђено, Управа Друштва ће упутити у хитну процедуру нови приједлог цјеновника </w:t>
      </w:r>
      <w:r w:rsidR="009C0487">
        <w:rPr>
          <w:lang w:val="sr-Cyrl-BA"/>
        </w:rPr>
        <w:t>комуналних услуга, који ће бити повећан за износ недостајућих прихода неопходних за реализацију повећања планских расхода.</w:t>
      </w:r>
    </w:p>
    <w:p w:rsidR="00B0537D" w:rsidRPr="00C05E8A" w:rsidRDefault="001647A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  <w:t xml:space="preserve">Приликом набавке </w:t>
      </w:r>
      <w:r w:rsidR="00B0537D" w:rsidRPr="00C05E8A">
        <w:rPr>
          <w:lang w:val="sr-Cyrl-BA"/>
        </w:rPr>
        <w:t>роба, услуга и радова који су неопходни за несметано обављање дјелатности</w:t>
      </w:r>
      <w:r>
        <w:rPr>
          <w:lang w:val="sr-Cyrl-BA"/>
        </w:rPr>
        <w:t>, Друштво је изложено расту цијена на тржишту</w:t>
      </w:r>
      <w:r w:rsidR="00B0537D" w:rsidRPr="00C05E8A">
        <w:rPr>
          <w:lang w:val="sr-Cyrl-BA"/>
        </w:rPr>
        <w:t>.</w:t>
      </w:r>
    </w:p>
    <w:p w:rsidR="00B0537D" w:rsidRPr="00C05E8A" w:rsidRDefault="001647A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B0537D" w:rsidRPr="00C05E8A">
        <w:rPr>
          <w:lang w:val="sr-Cyrl-BA"/>
        </w:rPr>
        <w:t>Како би се избјегла изложеност овом ризику, Друштво приликом склапања уговора у поступцима јавних набавки предвиђа да до повећања цијена може доћи само уз писмену сагласност Друштва. Такође, након сваке испостављене фактуре од стране добављача, врши се провјера цијена, и у с</w:t>
      </w:r>
      <w:r w:rsidR="00B0537D">
        <w:rPr>
          <w:lang w:val="sr-Cyrl-BA"/>
        </w:rPr>
        <w:t>лучају да се утврди неслагање у о</w:t>
      </w:r>
      <w:r w:rsidR="00B0537D" w:rsidRPr="00C05E8A">
        <w:rPr>
          <w:lang w:val="sr-Cyrl-BA"/>
        </w:rPr>
        <w:t>дносу на уговорене цијене исти се писмено обавјештавају о утврђеном неслагању са захтјевом да се изврши исправка фактуре.</w:t>
      </w:r>
    </w:p>
    <w:p w:rsidR="00B0537D" w:rsidRPr="00C05E8A" w:rsidRDefault="00450E6D" w:rsidP="00543539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1647AD">
        <w:rPr>
          <w:lang w:val="sr-Cyrl-BA"/>
        </w:rPr>
        <w:t>Б</w:t>
      </w:r>
      <w:r w:rsidR="00B0537D" w:rsidRPr="00C05E8A">
        <w:rPr>
          <w:lang w:val="sr-Cyrl-BA"/>
        </w:rPr>
        <w:t xml:space="preserve">удући да у свом пословању ово Друштво </w:t>
      </w:r>
      <w:r w:rsidR="001647AD">
        <w:rPr>
          <w:lang w:val="sr-Cyrl-BA"/>
        </w:rPr>
        <w:t xml:space="preserve">не </w:t>
      </w:r>
      <w:r w:rsidR="00B0537D" w:rsidRPr="00C05E8A">
        <w:rPr>
          <w:lang w:val="sr-Cyrl-BA"/>
        </w:rPr>
        <w:t xml:space="preserve">користи </w:t>
      </w:r>
      <w:r w:rsidR="00B0537D">
        <w:rPr>
          <w:lang w:val="sr-Cyrl-BA"/>
        </w:rPr>
        <w:t xml:space="preserve">краткорочне и дугорочне кредите </w:t>
      </w:r>
      <w:r>
        <w:rPr>
          <w:lang w:val="sr-Cyrl-BA"/>
        </w:rPr>
        <w:t>није присутна</w:t>
      </w:r>
      <w:r w:rsidR="00B0537D" w:rsidRPr="00C05E8A">
        <w:rPr>
          <w:lang w:val="sr-Cyrl-BA"/>
        </w:rPr>
        <w:t xml:space="preserve"> изложеност каматном ризику.</w:t>
      </w:r>
    </w:p>
    <w:p w:rsidR="00B0537D" w:rsidRDefault="00B0537D" w:rsidP="00B0537D">
      <w:pPr>
        <w:rPr>
          <w:lang w:val="sr-Cyrl-BA"/>
        </w:rPr>
      </w:pPr>
    </w:p>
    <w:p w:rsidR="00335FDB" w:rsidRPr="00A403FA" w:rsidRDefault="00335FDB" w:rsidP="00335FDB">
      <w:pPr>
        <w:pStyle w:val="Heading2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lastRenderedPageBreak/>
        <w:t xml:space="preserve"> </w:t>
      </w:r>
      <w:bookmarkStart w:id="23" w:name="_Toc153538048"/>
      <w:r>
        <w:rPr>
          <w:rFonts w:ascii="Times New Roman" w:hAnsi="Times New Roman"/>
          <w:sz w:val="24"/>
          <w:szCs w:val="24"/>
          <w:lang w:val="sr-Cyrl-BA"/>
        </w:rPr>
        <w:t>Ризик ликвидности</w:t>
      </w:r>
      <w:bookmarkEnd w:id="23"/>
    </w:p>
    <w:p w:rsidR="00052DAE" w:rsidRDefault="00400382" w:rsidP="00052DAE">
      <w:pPr>
        <w:autoSpaceDE w:val="0"/>
        <w:autoSpaceDN w:val="0"/>
        <w:adjustRightInd w:val="0"/>
        <w:jc w:val="both"/>
        <w:rPr>
          <w:lang w:val="hr-HR"/>
        </w:rPr>
      </w:pPr>
      <w:r>
        <w:rPr>
          <w:lang w:val="sr-Latn-BA" w:eastAsia="sr-Latn-BA"/>
        </w:rPr>
        <w:tab/>
      </w:r>
      <w:r w:rsidR="00052DAE">
        <w:rPr>
          <w:lang w:val="sr-Latn-CS"/>
        </w:rPr>
        <w:t>Задуженост</w:t>
      </w:r>
      <w:r w:rsidR="00052DAE" w:rsidRPr="00A7513C">
        <w:rPr>
          <w:lang w:val="sr-Latn-CS"/>
        </w:rPr>
        <w:t xml:space="preserve"> </w:t>
      </w:r>
      <w:r w:rsidR="00052DAE">
        <w:rPr>
          <w:lang w:val="hr-HR"/>
        </w:rPr>
        <w:t>предузећа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испитује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се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анализом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пасиве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биланса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стања</w:t>
      </w:r>
      <w:r w:rsidR="00052DAE" w:rsidRPr="00A7513C">
        <w:rPr>
          <w:lang w:val="sr-Latn-CS"/>
        </w:rPr>
        <w:t xml:space="preserve">, </w:t>
      </w:r>
      <w:r w:rsidR="00052DAE">
        <w:rPr>
          <w:lang w:val="sr-Latn-CS"/>
        </w:rPr>
        <w:t>са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аспекта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власништва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над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изворима</w:t>
      </w:r>
      <w:r w:rsidR="00052DAE" w:rsidRPr="00A7513C">
        <w:rPr>
          <w:lang w:val="sr-Latn-CS"/>
        </w:rPr>
        <w:t xml:space="preserve"> </w:t>
      </w:r>
      <w:r w:rsidR="00052DAE">
        <w:rPr>
          <w:lang w:val="sr-Latn-CS"/>
        </w:rPr>
        <w:t>финансирања</w:t>
      </w:r>
      <w:r w:rsidR="00052DAE" w:rsidRPr="00A7513C">
        <w:rPr>
          <w:lang w:val="sr-Latn-CS"/>
        </w:rPr>
        <w:t xml:space="preserve">. </w:t>
      </w:r>
      <w:r w:rsidR="00052DAE">
        <w:rPr>
          <w:lang w:val="hr-HR"/>
        </w:rPr>
        <w:t>Извори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финансирања</w:t>
      </w:r>
      <w:r w:rsidR="00052DAE" w:rsidRPr="00B31866">
        <w:rPr>
          <w:lang w:val="hr-HR"/>
        </w:rPr>
        <w:t xml:space="preserve"> (</w:t>
      </w:r>
      <w:r w:rsidR="00052DAE">
        <w:rPr>
          <w:lang w:val="hr-HR"/>
        </w:rPr>
        <w:t>пасива</w:t>
      </w:r>
      <w:r w:rsidR="00052DAE" w:rsidRPr="00B31866">
        <w:rPr>
          <w:lang w:val="hr-HR"/>
        </w:rPr>
        <w:t xml:space="preserve">) </w:t>
      </w:r>
      <w:r w:rsidR="00052DAE">
        <w:rPr>
          <w:lang w:val="hr-HR"/>
        </w:rPr>
        <w:t>предузећа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власничког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аспекта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дијеле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на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сопствене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позајм</w:t>
      </w:r>
      <w:r w:rsidR="00052DAE">
        <w:rPr>
          <w:lang w:val="sr-Cyrl-BA"/>
        </w:rPr>
        <w:t>љ</w:t>
      </w:r>
      <w:r w:rsidR="00052DAE">
        <w:rPr>
          <w:lang w:val="hr-HR"/>
        </w:rPr>
        <w:t>ене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изворе</w:t>
      </w:r>
      <w:r w:rsidR="00052DAE" w:rsidRPr="00B31866">
        <w:rPr>
          <w:lang w:val="hr-HR"/>
        </w:rPr>
        <w:t xml:space="preserve">. </w:t>
      </w:r>
      <w:r w:rsidR="00052DAE">
        <w:rPr>
          <w:lang w:val="hr-HR"/>
        </w:rPr>
        <w:t>Сопствене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изворе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чини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сопствени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капитал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који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представ</w:t>
      </w:r>
      <w:r w:rsidR="00052DAE">
        <w:rPr>
          <w:lang w:val="sr-Cyrl-BA"/>
        </w:rPr>
        <w:t>љ</w:t>
      </w:r>
      <w:r w:rsidR="00052DAE">
        <w:rPr>
          <w:lang w:val="hr-HR"/>
        </w:rPr>
        <w:t>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гарантну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супстанцу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B31866">
        <w:rPr>
          <w:lang w:val="hr-HR"/>
        </w:rPr>
        <w:t xml:space="preserve">, </w:t>
      </w:r>
      <w:r w:rsidR="00052DAE">
        <w:rPr>
          <w:lang w:val="hr-HR"/>
        </w:rPr>
        <w:t>јер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штити</w:t>
      </w:r>
      <w:r w:rsidR="00052DAE" w:rsidRPr="00B31866">
        <w:rPr>
          <w:lang w:val="hr-HR"/>
        </w:rPr>
        <w:t xml:space="preserve">  </w:t>
      </w:r>
      <w:r w:rsidR="00052DAE">
        <w:rPr>
          <w:lang w:val="hr-HR"/>
        </w:rPr>
        <w:t>повјериоце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од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губитка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позајм</w:t>
      </w:r>
      <w:r w:rsidR="00052DAE">
        <w:rPr>
          <w:lang w:val="sr-Cyrl-BA"/>
        </w:rPr>
        <w:t>љ</w:t>
      </w:r>
      <w:r w:rsidR="00052DAE">
        <w:rPr>
          <w:lang w:val="hr-HR"/>
        </w:rPr>
        <w:t>еног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капитала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обезбјеђује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сигурност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у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наплати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потраживања</w:t>
      </w:r>
      <w:r w:rsidR="00052DAE" w:rsidRPr="00B31866">
        <w:rPr>
          <w:lang w:val="hr-HR"/>
        </w:rPr>
        <w:t xml:space="preserve">. </w:t>
      </w:r>
      <w:r w:rsidR="00052DAE">
        <w:rPr>
          <w:lang w:val="hr-HR"/>
        </w:rPr>
        <w:t>Каже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да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сопствени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капитал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гарант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ликвидности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пословања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B31866">
        <w:rPr>
          <w:lang w:val="hr-HR"/>
        </w:rPr>
        <w:t xml:space="preserve">. </w:t>
      </w:r>
      <w:r w:rsidR="00052DAE">
        <w:rPr>
          <w:lang w:val="hr-HR"/>
        </w:rPr>
        <w:t>Оваква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тврдња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доста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површна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више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формална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него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што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прихват</w:t>
      </w:r>
      <w:r w:rsidR="00052DAE">
        <w:rPr>
          <w:lang w:val="sr-Cyrl-BA"/>
        </w:rPr>
        <w:t>љ</w:t>
      </w:r>
      <w:r w:rsidR="00052DAE">
        <w:rPr>
          <w:lang w:val="hr-HR"/>
        </w:rPr>
        <w:t>ива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у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пракси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управ</w:t>
      </w:r>
      <w:r w:rsidR="00052DAE">
        <w:rPr>
          <w:lang w:val="sr-Cyrl-BA"/>
        </w:rPr>
        <w:t>љ</w:t>
      </w:r>
      <w:r w:rsidR="00052DAE">
        <w:rPr>
          <w:lang w:val="hr-HR"/>
        </w:rPr>
        <w:t>ања</w:t>
      </w:r>
      <w:r w:rsidR="00052DAE" w:rsidRPr="00B31866">
        <w:rPr>
          <w:lang w:val="hr-HR"/>
        </w:rPr>
        <w:t xml:space="preserve">. </w:t>
      </w:r>
      <w:r w:rsidR="00052DAE">
        <w:rPr>
          <w:lang w:val="hr-HR"/>
        </w:rPr>
        <w:t>Ликвидност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иск</w:t>
      </w:r>
      <w:r w:rsidR="00052DAE">
        <w:rPr>
          <w:lang w:val="sr-Cyrl-BA"/>
        </w:rPr>
        <w:t>љ</w:t>
      </w:r>
      <w:r w:rsidR="00052DAE">
        <w:rPr>
          <w:lang w:val="hr-HR"/>
        </w:rPr>
        <w:t>учиво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зависи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од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прилива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одлива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готовине</w:t>
      </w:r>
      <w:r w:rsidR="00052DAE" w:rsidRPr="00B31866">
        <w:rPr>
          <w:lang w:val="hr-HR"/>
        </w:rPr>
        <w:t xml:space="preserve">, </w:t>
      </w:r>
      <w:r w:rsidR="00052DAE">
        <w:rPr>
          <w:lang w:val="hr-HR"/>
        </w:rPr>
        <w:t>дакле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од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cash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flow</w:t>
      </w:r>
      <w:r w:rsidR="00052DAE" w:rsidRPr="00B31866">
        <w:rPr>
          <w:lang w:val="hr-HR"/>
        </w:rPr>
        <w:t xml:space="preserve"> </w:t>
      </w:r>
      <w:r w:rsidR="00052DAE">
        <w:rPr>
          <w:lang w:val="hr-HR"/>
        </w:rPr>
        <w:t>тока</w:t>
      </w:r>
      <w:r w:rsidR="00052DAE" w:rsidRPr="00B31866">
        <w:rPr>
          <w:lang w:val="hr-HR"/>
        </w:rPr>
        <w:t>.</w:t>
      </w:r>
      <w:r w:rsidR="00052DAE">
        <w:rPr>
          <w:lang w:val="sr-Cyrl-BA"/>
        </w:rPr>
        <w:t xml:space="preserve"> </w:t>
      </w:r>
      <w:r w:rsidR="00052DAE">
        <w:rPr>
          <w:lang w:val="hr-HR"/>
        </w:rPr>
        <w:t>Нето сопствени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капитал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једнак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разлици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између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вриједности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пословне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имовине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исказане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у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активи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његовог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биланса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стања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укупних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обавеза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850DBF">
        <w:rPr>
          <w:lang w:val="hr-HR"/>
        </w:rPr>
        <w:t xml:space="preserve"> (</w:t>
      </w:r>
      <w:r w:rsidR="00052DAE">
        <w:rPr>
          <w:lang w:val="hr-HR"/>
        </w:rPr>
        <w:t>пасива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биланса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стања</w:t>
      </w:r>
      <w:r w:rsidR="00052DAE" w:rsidRPr="00850DBF">
        <w:rPr>
          <w:lang w:val="hr-HR"/>
        </w:rPr>
        <w:t xml:space="preserve">). </w:t>
      </w:r>
      <w:r w:rsidR="00052DAE">
        <w:rPr>
          <w:lang w:val="hr-HR"/>
        </w:rPr>
        <w:t>Нето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сопствени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капитал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формално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посматрано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гарантна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супстанца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акционарског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друштва</w:t>
      </w:r>
      <w:r w:rsidR="00052DAE" w:rsidRPr="00850DBF">
        <w:rPr>
          <w:lang w:val="hr-HR"/>
        </w:rPr>
        <w:t xml:space="preserve">. </w:t>
      </w:r>
      <w:r w:rsidR="00052DAE">
        <w:rPr>
          <w:lang w:val="hr-HR"/>
        </w:rPr>
        <w:t>Односно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све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док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нето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сопствени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капитал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друштва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позитиван</w:t>
      </w:r>
      <w:r w:rsidR="00052DAE" w:rsidRPr="00850DBF">
        <w:rPr>
          <w:lang w:val="hr-HR"/>
        </w:rPr>
        <w:t xml:space="preserve">, </w:t>
      </w:r>
      <w:r w:rsidR="00052DAE">
        <w:rPr>
          <w:lang w:val="hr-HR"/>
        </w:rPr>
        <w:t>предузеће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је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солвентно</w:t>
      </w:r>
      <w:r w:rsidR="00052DAE" w:rsidRPr="00850DBF">
        <w:rPr>
          <w:lang w:val="hr-HR"/>
        </w:rPr>
        <w:t xml:space="preserve">. </w:t>
      </w:r>
      <w:r w:rsidR="00052DAE">
        <w:rPr>
          <w:lang w:val="hr-HR"/>
        </w:rPr>
        <w:t>Солвентност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предузећа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може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посматрати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као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његова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ликвидност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на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дуги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рок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очитава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способношћу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друштва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плати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све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обавезе</w:t>
      </w:r>
      <w:r w:rsidR="00052DAE" w:rsidRPr="00850DBF">
        <w:rPr>
          <w:lang w:val="hr-HR"/>
        </w:rPr>
        <w:t xml:space="preserve">, </w:t>
      </w:r>
      <w:r w:rsidR="00052DAE">
        <w:rPr>
          <w:lang w:val="hr-HR"/>
        </w:rPr>
        <w:t>било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када</w:t>
      </w:r>
      <w:r w:rsidR="00052DAE" w:rsidRPr="00850DBF">
        <w:rPr>
          <w:lang w:val="hr-HR"/>
        </w:rPr>
        <w:t xml:space="preserve"> (</w:t>
      </w:r>
      <w:r w:rsidR="00052DAE">
        <w:rPr>
          <w:lang w:val="hr-HR"/>
        </w:rPr>
        <w:t>не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о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року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њиховог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доспјећа</w:t>
      </w:r>
      <w:r w:rsidR="00052DAE" w:rsidRPr="00850DBF">
        <w:rPr>
          <w:lang w:val="hr-HR"/>
        </w:rPr>
        <w:t xml:space="preserve">), </w:t>
      </w:r>
      <w:r w:rsidR="00052DAE">
        <w:rPr>
          <w:lang w:val="hr-HR"/>
        </w:rPr>
        <w:t>па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макар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из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ликвидационе</w:t>
      </w:r>
      <w:r w:rsidR="00052DAE" w:rsidRPr="00850DBF">
        <w:rPr>
          <w:lang w:val="hr-HR"/>
        </w:rPr>
        <w:t xml:space="preserve"> </w:t>
      </w:r>
      <w:r w:rsidR="00052DAE">
        <w:rPr>
          <w:lang w:val="hr-HR"/>
        </w:rPr>
        <w:t>масе</w:t>
      </w:r>
      <w:r w:rsidR="00052DAE" w:rsidRPr="00850DBF">
        <w:rPr>
          <w:lang w:val="hr-HR"/>
        </w:rPr>
        <w:t>.</w:t>
      </w:r>
    </w:p>
    <w:p w:rsidR="00052DAE" w:rsidRPr="00A25712" w:rsidRDefault="00052DAE" w:rsidP="00400382">
      <w:pPr>
        <w:autoSpaceDE w:val="0"/>
        <w:autoSpaceDN w:val="0"/>
        <w:adjustRightInd w:val="0"/>
        <w:jc w:val="both"/>
        <w:rPr>
          <w:sz w:val="8"/>
          <w:szCs w:val="8"/>
          <w:lang w:val="sr-Cyrl-BA" w:eastAsia="sr-Latn-BA"/>
        </w:rPr>
      </w:pPr>
    </w:p>
    <w:p w:rsidR="00400382" w:rsidRDefault="00052DAE" w:rsidP="00400382">
      <w:pPr>
        <w:autoSpaceDE w:val="0"/>
        <w:autoSpaceDN w:val="0"/>
        <w:adjustRightInd w:val="0"/>
        <w:jc w:val="both"/>
        <w:rPr>
          <w:lang w:val="sr-Cyrl-BA" w:eastAsia="sr-Latn-BA"/>
        </w:rPr>
      </w:pPr>
      <w:r>
        <w:rPr>
          <w:lang w:val="sr-Cyrl-BA" w:eastAsia="sr-Latn-BA"/>
        </w:rPr>
        <w:tab/>
      </w:r>
      <w:r w:rsidR="00400382">
        <w:rPr>
          <w:lang w:val="sr-Latn-BA" w:eastAsia="sr-Latn-BA"/>
        </w:rPr>
        <w:t>Ов</w:t>
      </w:r>
      <w:r w:rsidR="00400382">
        <w:rPr>
          <w:lang w:val="sr-Cyrl-BA" w:eastAsia="sr-Latn-BA"/>
        </w:rPr>
        <w:t>и</w:t>
      </w:r>
      <w:r w:rsidR="00400382" w:rsidRPr="00400382">
        <w:rPr>
          <w:lang w:val="sr-Latn-BA" w:eastAsia="sr-Latn-BA"/>
        </w:rPr>
        <w:t xml:space="preserve">м </w:t>
      </w:r>
      <w:r w:rsidR="00400382">
        <w:rPr>
          <w:lang w:val="sr-Cyrl-BA" w:eastAsia="sr-Latn-BA"/>
        </w:rPr>
        <w:t>Планом</w:t>
      </w:r>
      <w:r w:rsidR="00400382" w:rsidRPr="00400382">
        <w:rPr>
          <w:lang w:val="sr-Latn-BA" w:eastAsia="sr-Latn-BA"/>
        </w:rPr>
        <w:t xml:space="preserve"> прописују се минимални захтјеви у погледу управљања ризиком</w:t>
      </w:r>
      <w:r w:rsidR="00400382">
        <w:rPr>
          <w:lang w:val="sr-Cyrl-BA" w:eastAsia="sr-Latn-BA"/>
        </w:rPr>
        <w:t xml:space="preserve"> </w:t>
      </w:r>
      <w:r w:rsidR="00400382" w:rsidRPr="00400382">
        <w:rPr>
          <w:lang w:val="sr-Latn-BA" w:eastAsia="sr-Latn-BA"/>
        </w:rPr>
        <w:t xml:space="preserve">ликвидности у </w:t>
      </w:r>
      <w:r w:rsidR="00400382">
        <w:rPr>
          <w:lang w:val="sr-Cyrl-BA" w:eastAsia="sr-Latn-BA"/>
        </w:rPr>
        <w:t>Друштву</w:t>
      </w:r>
      <w:r w:rsidR="00400382" w:rsidRPr="00400382">
        <w:rPr>
          <w:lang w:val="sr-Latn-BA" w:eastAsia="sr-Latn-BA"/>
        </w:rPr>
        <w:t xml:space="preserve">, те </w:t>
      </w:r>
      <w:r w:rsidR="00400382">
        <w:rPr>
          <w:lang w:val="sr-Latn-BA" w:eastAsia="sr-Latn-BA"/>
        </w:rPr>
        <w:t>квантитативни захтјеви</w:t>
      </w:r>
      <w:r w:rsidR="00400382">
        <w:rPr>
          <w:lang w:val="sr-Cyrl-BA" w:eastAsia="sr-Latn-BA"/>
        </w:rPr>
        <w:t xml:space="preserve"> </w:t>
      </w:r>
      <w:r w:rsidR="00400382" w:rsidRPr="00400382">
        <w:rPr>
          <w:lang w:val="sr-Latn-BA" w:eastAsia="sr-Latn-BA"/>
        </w:rPr>
        <w:t>везани за коефицијенте</w:t>
      </w:r>
      <w:r w:rsidR="00400382">
        <w:rPr>
          <w:lang w:val="sr-Cyrl-BA" w:eastAsia="sr-Latn-BA"/>
        </w:rPr>
        <w:t xml:space="preserve"> </w:t>
      </w:r>
      <w:r w:rsidR="00400382" w:rsidRPr="00400382">
        <w:rPr>
          <w:lang w:val="sr-Latn-BA" w:eastAsia="sr-Latn-BA"/>
        </w:rPr>
        <w:t>покрића ликвидности и обезбјеђења</w:t>
      </w:r>
      <w:r w:rsidR="00400382">
        <w:rPr>
          <w:lang w:val="sr-Cyrl-BA" w:eastAsia="sr-Latn-BA"/>
        </w:rPr>
        <w:t xml:space="preserve"> </w:t>
      </w:r>
      <w:r w:rsidR="00400382" w:rsidRPr="00400382">
        <w:rPr>
          <w:lang w:val="sr-Latn-BA" w:eastAsia="sr-Latn-BA"/>
        </w:rPr>
        <w:t>стабилних извора финансирања, као</w:t>
      </w:r>
      <w:r>
        <w:rPr>
          <w:lang w:val="sr-Cyrl-BA" w:eastAsia="sr-Latn-BA"/>
        </w:rPr>
        <w:t xml:space="preserve"> </w:t>
      </w:r>
      <w:r w:rsidR="00400382" w:rsidRPr="00400382">
        <w:rPr>
          <w:lang w:val="sr-Latn-BA" w:eastAsia="sr-Latn-BA"/>
        </w:rPr>
        <w:t>и коришћење додатних механизама за праћење и процјену ризика ликвидности.</w:t>
      </w:r>
    </w:p>
    <w:p w:rsidR="00400382" w:rsidRPr="00A25712" w:rsidRDefault="00335FDB" w:rsidP="00400382">
      <w:pPr>
        <w:autoSpaceDE w:val="0"/>
        <w:autoSpaceDN w:val="0"/>
        <w:adjustRightInd w:val="0"/>
        <w:jc w:val="both"/>
        <w:rPr>
          <w:sz w:val="8"/>
          <w:szCs w:val="8"/>
          <w:lang w:val="sr-Latn-BA"/>
        </w:rPr>
      </w:pPr>
      <w:r w:rsidRPr="00400382">
        <w:rPr>
          <w:lang w:val="sr-Cyrl-BA"/>
        </w:rPr>
        <w:tab/>
      </w:r>
    </w:p>
    <w:p w:rsidR="00B0537D" w:rsidRPr="00C05E8A" w:rsidRDefault="00400382" w:rsidP="00335FDB">
      <w:pPr>
        <w:spacing w:after="120"/>
        <w:jc w:val="both"/>
        <w:rPr>
          <w:lang w:val="sr-Cyrl-BA"/>
        </w:rPr>
      </w:pPr>
      <w:r>
        <w:rPr>
          <w:lang w:val="sr-Cyrl-BA"/>
        </w:rPr>
        <w:tab/>
      </w:r>
      <w:r w:rsidR="00335FDB">
        <w:rPr>
          <w:lang w:val="sr-Cyrl-BA"/>
        </w:rPr>
        <w:t>Ликвидност</w:t>
      </w:r>
      <w:r w:rsidR="00B0537D" w:rsidRPr="00C05E8A">
        <w:rPr>
          <w:lang w:val="sr-Cyrl-BA"/>
        </w:rPr>
        <w:t xml:space="preserve"> </w:t>
      </w:r>
      <w:r w:rsidR="00335FDB">
        <w:rPr>
          <w:lang w:val="sr-Cyrl-BA"/>
        </w:rPr>
        <w:t>Д</w:t>
      </w:r>
      <w:r w:rsidR="00B0537D" w:rsidRPr="00C05E8A">
        <w:rPr>
          <w:lang w:val="sr-Cyrl-BA"/>
        </w:rPr>
        <w:t xml:space="preserve">руштва представља његову способност да у </w:t>
      </w:r>
      <w:r w:rsidR="00052DAE">
        <w:rPr>
          <w:lang w:val="sr-Cyrl-BA"/>
        </w:rPr>
        <w:t>моменту</w:t>
      </w:r>
      <w:r w:rsidR="00B0537D" w:rsidRPr="00C05E8A">
        <w:rPr>
          <w:lang w:val="sr-Cyrl-BA"/>
        </w:rPr>
        <w:t xml:space="preserve"> доспјећа измирује своје </w:t>
      </w:r>
      <w:r w:rsidR="00052DAE">
        <w:rPr>
          <w:lang w:val="sr-Cyrl-BA"/>
        </w:rPr>
        <w:t xml:space="preserve">приспјеле </w:t>
      </w:r>
      <w:r w:rsidR="00B0537D" w:rsidRPr="00C05E8A">
        <w:rPr>
          <w:lang w:val="sr-Cyrl-BA"/>
        </w:rPr>
        <w:t>обавезе. Основни циљ управљања ризиком ликвидности је одржавање потребног нивоа ликвидних средстава</w:t>
      </w:r>
      <w:r w:rsidR="00052DAE">
        <w:rPr>
          <w:lang w:val="sr-Cyrl-BA"/>
        </w:rPr>
        <w:t>,</w:t>
      </w:r>
      <w:r w:rsidR="00B0537D" w:rsidRPr="00C05E8A">
        <w:rPr>
          <w:lang w:val="sr-Cyrl-BA"/>
        </w:rPr>
        <w:t xml:space="preserve"> како би се уредно и у роковима доспјећа исмириле све обавезе по билансним позицијама.</w:t>
      </w:r>
      <w:r w:rsidR="00B0537D">
        <w:rPr>
          <w:lang w:val="sr-Cyrl-BA"/>
        </w:rPr>
        <w:t xml:space="preserve"> </w:t>
      </w:r>
      <w:r w:rsidR="00B0537D">
        <w:rPr>
          <w:lang/>
        </w:rPr>
        <w:t xml:space="preserve">Уколико посматрамо тренутни однос краткорочних обавеза и краткорочних средстава које су расположиве за измирење краткорочних обавеза, јасно је да Друштво има изражен проблем ликвидности. </w:t>
      </w:r>
      <w:r w:rsidR="00B0537D">
        <w:rPr>
          <w:lang w:val="sr-Cyrl-BA"/>
        </w:rPr>
        <w:t xml:space="preserve">У том смислу, а у циљу превазилажења проблема ликвидности, Управа Друштва </w:t>
      </w:r>
      <w:r w:rsidR="00052DAE">
        <w:rPr>
          <w:lang w:val="sr-Cyrl-BA"/>
        </w:rPr>
        <w:t xml:space="preserve">заједно са Надзорним одбором ће </w:t>
      </w:r>
      <w:r w:rsidR="00A25712">
        <w:rPr>
          <w:lang w:val="sr-Cyrl-BA"/>
        </w:rPr>
        <w:t>у 202</w:t>
      </w:r>
      <w:r w:rsidR="009C0487">
        <w:rPr>
          <w:lang w:val="sr-Cyrl-BA"/>
        </w:rPr>
        <w:t>5</w:t>
      </w:r>
      <w:r w:rsidR="00A25712">
        <w:rPr>
          <w:lang w:val="sr-Cyrl-BA"/>
        </w:rPr>
        <w:t xml:space="preserve">. </w:t>
      </w:r>
      <w:r w:rsidR="005C01C3">
        <w:rPr>
          <w:lang w:val="sr-Cyrl-BA"/>
        </w:rPr>
        <w:t>г</w:t>
      </w:r>
      <w:r w:rsidR="00A25712">
        <w:rPr>
          <w:lang w:val="sr-Cyrl-BA"/>
        </w:rPr>
        <w:t xml:space="preserve">одини </w:t>
      </w:r>
      <w:r w:rsidR="00052DAE">
        <w:rPr>
          <w:lang w:val="sr-Cyrl-BA"/>
        </w:rPr>
        <w:t>сачинити</w:t>
      </w:r>
      <w:r w:rsidR="00B0537D">
        <w:rPr>
          <w:lang w:val="sr-Cyrl-BA"/>
        </w:rPr>
        <w:t xml:space="preserve"> П</w:t>
      </w:r>
      <w:r w:rsidR="00052DAE">
        <w:rPr>
          <w:lang w:val="sr-Cyrl-BA"/>
        </w:rPr>
        <w:t>рограм</w:t>
      </w:r>
      <w:r w:rsidR="00B0537D">
        <w:rPr>
          <w:lang w:val="sr-Cyrl-BA"/>
        </w:rPr>
        <w:t xml:space="preserve"> мјера и активности у циљу обезбјеђења финансијске стабилности Друштва</w:t>
      </w:r>
      <w:r w:rsidR="00A25712">
        <w:rPr>
          <w:lang w:val="sr-Cyrl-BA"/>
        </w:rPr>
        <w:t>,</w:t>
      </w:r>
      <w:r w:rsidR="00B0537D">
        <w:rPr>
          <w:lang w:val="sr-Cyrl-BA"/>
        </w:rPr>
        <w:t xml:space="preserve"> чијом реализацијом се очекује побољшање ликвидности.</w:t>
      </w:r>
    </w:p>
    <w:p w:rsidR="00B0537D" w:rsidRPr="00A25712" w:rsidRDefault="00A25712" w:rsidP="00A25712">
      <w:pPr>
        <w:pStyle w:val="NoSpacing"/>
        <w:jc w:val="both"/>
        <w:rPr>
          <w:lang w:val="sr-Cyrl-BA"/>
        </w:rPr>
      </w:pPr>
      <w:r>
        <w:rPr>
          <w:lang w:val="sr-Cyrl-BA"/>
        </w:rPr>
        <w:tab/>
        <w:t xml:space="preserve">Ослонац у изради Програма мјера и активности у циљу обезбјеђења финансијске стабилности Друштва представља донесени „Правилник </w:t>
      </w:r>
      <w:r w:rsidRPr="00A25712">
        <w:rPr>
          <w:lang w:val="sr-Cyrl-BA"/>
        </w:rPr>
        <w:t xml:space="preserve">о процедурама </w:t>
      </w:r>
      <w:r>
        <w:rPr>
          <w:lang w:val="sr-Cyrl-BA"/>
        </w:rPr>
        <w:t xml:space="preserve">за праћење наплате потраживања, </w:t>
      </w:r>
      <w:r w:rsidRPr="00A25712">
        <w:rPr>
          <w:lang w:val="sr-Cyrl-BA"/>
        </w:rPr>
        <w:t>исправку вриједности сумњивих и спорних потраживања и отпис ненаплативих потраживања</w:t>
      </w:r>
      <w:r>
        <w:rPr>
          <w:lang w:val="sr-Cyrl-BA"/>
        </w:rPr>
        <w:t xml:space="preserve">“, те </w:t>
      </w:r>
      <w:r w:rsidR="005C01C3">
        <w:rPr>
          <w:lang w:val="sr-Cyrl-BA"/>
        </w:rPr>
        <w:t>детаљно анализирање свих</w:t>
      </w:r>
      <w:r>
        <w:rPr>
          <w:lang w:val="sr-Cyrl-BA"/>
        </w:rPr>
        <w:t xml:space="preserve"> краткорочних обавеза</w:t>
      </w:r>
      <w:r w:rsidR="005C01C3">
        <w:rPr>
          <w:lang w:val="sr-Cyrl-BA"/>
        </w:rPr>
        <w:t xml:space="preserve"> и успостављање листе приоритета у измирењу обавеза из расположивих текућих или кредитних средстава</w:t>
      </w:r>
      <w:r w:rsidR="00B0537D" w:rsidRPr="00A25712">
        <w:rPr>
          <w:lang w:val="sr-Cyrl-BA"/>
        </w:rPr>
        <w:t>.</w:t>
      </w:r>
    </w:p>
    <w:p w:rsidR="00423BA3" w:rsidRDefault="00423BA3" w:rsidP="00364B0D">
      <w:pPr>
        <w:jc w:val="both"/>
        <w:rPr>
          <w:lang w:val="sr-Cyrl-BA"/>
        </w:rPr>
      </w:pPr>
    </w:p>
    <w:p w:rsidR="00364B0D" w:rsidRPr="00EB3B89" w:rsidRDefault="00197D20" w:rsidP="00364B0D">
      <w:pPr>
        <w:jc w:val="both"/>
        <w:rPr>
          <w:lang w:val="sr-Latn-CS"/>
        </w:rPr>
      </w:pPr>
      <w:r w:rsidRPr="00197D20">
        <w:rPr>
          <w:noProof/>
          <w:lang w:val="en-GB" w:eastAsia="en-GB"/>
        </w:rPr>
        <w:pict>
          <v:shape id="_x0000_s1028" type="#_x0000_t202" style="position:absolute;left:0;text-align:left;margin-left:223.05pt;margin-top:11.9pt;width:212.25pt;height:74.8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" stroked="f">
            <v:textbox>
              <w:txbxContent>
                <w:p w:rsidR="00401F24" w:rsidRPr="007947EE" w:rsidRDefault="00401F24" w:rsidP="001445D2">
                  <w:pPr>
                    <w:jc w:val="center"/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>ПРЕДСЈЕДАВАЈУЋИ СКУПШТИНЕ АКЦИОНАРА ДРУШТВА</w:t>
                  </w:r>
                </w:p>
                <w:p w:rsidR="00401F24" w:rsidRDefault="00401F24" w:rsidP="001445D2">
                  <w:pPr>
                    <w:pBdr>
                      <w:bottom w:val="single" w:sz="12" w:space="1" w:color="auto"/>
                    </w:pBdr>
                    <w:jc w:val="center"/>
                    <w:rPr>
                      <w:sz w:val="20"/>
                      <w:szCs w:val="20"/>
                      <w:lang w:val="sr-Latn-BA"/>
                    </w:rPr>
                  </w:pPr>
                </w:p>
                <w:p w:rsidR="00401F24" w:rsidRPr="00D54C9A" w:rsidRDefault="00401F24" w:rsidP="001445D2">
                  <w:pPr>
                    <w:pBdr>
                      <w:bottom w:val="single" w:sz="12" w:space="1" w:color="auto"/>
                    </w:pBdr>
                    <w:jc w:val="center"/>
                    <w:rPr>
                      <w:sz w:val="20"/>
                      <w:szCs w:val="20"/>
                      <w:lang w:val="sr-Latn-BA"/>
                    </w:rPr>
                  </w:pPr>
                </w:p>
                <w:p w:rsidR="00401F24" w:rsidRPr="00C045EF" w:rsidRDefault="00C045EF" w:rsidP="007947EE">
                  <w:pPr>
                    <w:jc w:val="center"/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>Радослав Остојић</w:t>
                  </w:r>
                </w:p>
                <w:p w:rsidR="00401F24" w:rsidRDefault="00401F24" w:rsidP="001445D2"/>
              </w:txbxContent>
            </v:textbox>
          </v:shape>
        </w:pict>
      </w:r>
    </w:p>
    <w:p w:rsidR="00F63901" w:rsidRPr="009C2DA4" w:rsidRDefault="009129D1" w:rsidP="00F63901">
      <w:pPr>
        <w:jc w:val="both"/>
        <w:rPr>
          <w:b/>
          <w:lang w:val="sr-Cyrl-CS"/>
        </w:rPr>
      </w:pPr>
      <w:r>
        <w:rPr>
          <w:b/>
          <w:lang w:val="sr-Cyrl-CS"/>
        </w:rPr>
        <w:t>АД</w:t>
      </w:r>
      <w:r w:rsidR="009C2DA4" w:rsidRPr="009C2DA4">
        <w:rPr>
          <w:b/>
          <w:lang w:val="sr-Cyrl-CS"/>
        </w:rPr>
        <w:t xml:space="preserve"> „</w:t>
      </w:r>
      <w:r>
        <w:rPr>
          <w:b/>
          <w:lang w:val="sr-Cyrl-CS"/>
        </w:rPr>
        <w:t>КОМУНАЛАЦ</w:t>
      </w:r>
      <w:r w:rsidR="009C2DA4" w:rsidRPr="009C2DA4">
        <w:rPr>
          <w:b/>
          <w:lang w:val="sr-Cyrl-CS"/>
        </w:rPr>
        <w:t xml:space="preserve">“ </w:t>
      </w:r>
      <w:r>
        <w:rPr>
          <w:b/>
          <w:lang w:val="sr-Cyrl-CS"/>
        </w:rPr>
        <w:t>БИЈЕЉИНА</w:t>
      </w:r>
    </w:p>
    <w:p w:rsidR="00F63901" w:rsidRDefault="00F63901" w:rsidP="00F63901">
      <w:pPr>
        <w:jc w:val="both"/>
        <w:rPr>
          <w:sz w:val="8"/>
          <w:szCs w:val="8"/>
          <w:lang w:val="sr-Latn-BA"/>
        </w:rPr>
      </w:pPr>
      <w:r>
        <w:rPr>
          <w:lang w:val="sr-Cyrl-CS"/>
        </w:rPr>
        <w:t xml:space="preserve">  </w:t>
      </w:r>
      <w:r w:rsidR="009C2DA4">
        <w:rPr>
          <w:lang w:val="sr-Latn-BA"/>
        </w:rPr>
        <w:t xml:space="preserve">      </w:t>
      </w:r>
      <w:r>
        <w:rPr>
          <w:lang w:val="sr-Cyrl-CS"/>
        </w:rPr>
        <w:t xml:space="preserve"> - </w:t>
      </w:r>
      <w:r w:rsidR="009129D1">
        <w:rPr>
          <w:lang w:val="sr-Cyrl-CS"/>
        </w:rPr>
        <w:t>Скупштина</w:t>
      </w:r>
      <w:r>
        <w:rPr>
          <w:lang w:val="sr-Cyrl-CS"/>
        </w:rPr>
        <w:t xml:space="preserve"> </w:t>
      </w:r>
      <w:r w:rsidR="009129D1">
        <w:rPr>
          <w:lang w:val="sr-Cyrl-CS"/>
        </w:rPr>
        <w:t>акционара</w:t>
      </w:r>
      <w:r>
        <w:rPr>
          <w:lang w:val="sr-Cyrl-CS"/>
        </w:rPr>
        <w:t xml:space="preserve">  –</w:t>
      </w:r>
    </w:p>
    <w:p w:rsidR="006C4FF9" w:rsidRDefault="006C4FF9" w:rsidP="00F63901">
      <w:pPr>
        <w:jc w:val="both"/>
        <w:rPr>
          <w:sz w:val="8"/>
          <w:szCs w:val="8"/>
          <w:lang w:val="sr-Latn-BA"/>
        </w:rPr>
      </w:pPr>
    </w:p>
    <w:p w:rsidR="006C4FF9" w:rsidRPr="006C4FF9" w:rsidRDefault="006C4FF9" w:rsidP="00F63901">
      <w:pPr>
        <w:jc w:val="both"/>
        <w:rPr>
          <w:sz w:val="8"/>
          <w:szCs w:val="8"/>
          <w:lang w:val="sr-Latn-BA"/>
        </w:rPr>
      </w:pPr>
    </w:p>
    <w:p w:rsidR="00F63901" w:rsidRPr="00DA7FEF" w:rsidRDefault="009129D1" w:rsidP="00F63901">
      <w:pPr>
        <w:jc w:val="both"/>
        <w:rPr>
          <w:lang w:val="sr-Cyrl-BA"/>
        </w:rPr>
      </w:pPr>
      <w:r>
        <w:rPr>
          <w:lang w:val="sr-Cyrl-CS"/>
        </w:rPr>
        <w:t>Број</w:t>
      </w:r>
      <w:r w:rsidR="00F63901">
        <w:rPr>
          <w:lang w:val="sr-Cyrl-CS"/>
        </w:rPr>
        <w:t>:</w:t>
      </w:r>
      <w:r w:rsidR="00C045EF">
        <w:rPr>
          <w:lang w:val="sr-Cyrl-CS"/>
        </w:rPr>
        <w:t xml:space="preserve"> </w:t>
      </w:r>
      <w:r w:rsidR="00C045EF">
        <w:rPr>
          <w:lang w:val="sr-Latn-BA"/>
        </w:rPr>
        <w:t>1717</w:t>
      </w:r>
      <w:r w:rsidR="0035755C">
        <w:rPr>
          <w:lang w:val="sr-Latn-BA"/>
        </w:rPr>
        <w:t>/202</w:t>
      </w:r>
      <w:r w:rsidR="00DA7FEF">
        <w:rPr>
          <w:lang w:val="sr-Cyrl-BA"/>
        </w:rPr>
        <w:t>5</w:t>
      </w:r>
    </w:p>
    <w:p w:rsidR="00512CE8" w:rsidRPr="00396EB7" w:rsidRDefault="009129D1" w:rsidP="000A0DBE">
      <w:pPr>
        <w:rPr>
          <w:lang w:val="sr-Latn-BA"/>
        </w:rPr>
      </w:pPr>
      <w:r>
        <w:rPr>
          <w:lang w:val="sr-Latn-BA"/>
        </w:rPr>
        <w:t>Датум</w:t>
      </w:r>
      <w:r w:rsidR="00876734">
        <w:rPr>
          <w:lang w:val="sr-Latn-BA"/>
        </w:rPr>
        <w:t>:</w:t>
      </w:r>
      <w:r w:rsidR="00C045EF">
        <w:rPr>
          <w:lang w:val="sr-Cyrl-BA"/>
        </w:rPr>
        <w:t xml:space="preserve"> </w:t>
      </w:r>
      <w:r w:rsidR="00C045EF">
        <w:rPr>
          <w:lang w:val="sr-Latn-BA"/>
        </w:rPr>
        <w:t>20.03</w:t>
      </w:r>
      <w:r w:rsidR="006C4FF9">
        <w:rPr>
          <w:lang w:val="sr-Latn-BA"/>
        </w:rPr>
        <w:t>.20</w:t>
      </w:r>
      <w:r w:rsidR="0035755C">
        <w:rPr>
          <w:lang w:val="sr-Latn-BA"/>
        </w:rPr>
        <w:t>2</w:t>
      </w:r>
      <w:r w:rsidR="00DA7FEF">
        <w:rPr>
          <w:lang w:val="sr-Cyrl-BA"/>
        </w:rPr>
        <w:t>5</w:t>
      </w:r>
      <w:r w:rsidR="00F63901">
        <w:rPr>
          <w:lang w:val="sr-Latn-BA"/>
        </w:rPr>
        <w:t>.</w:t>
      </w:r>
      <w:r w:rsidR="00793E5C">
        <w:rPr>
          <w:lang w:val="sr-Latn-BA"/>
        </w:rPr>
        <w:t xml:space="preserve"> </w:t>
      </w:r>
      <w:r>
        <w:rPr>
          <w:lang w:val="sr-Latn-BA"/>
        </w:rPr>
        <w:t>године</w:t>
      </w:r>
      <w:r w:rsidR="00F63901">
        <w:rPr>
          <w:lang w:val="sr-Latn-BA"/>
        </w:rPr>
        <w:t xml:space="preserve">         </w:t>
      </w:r>
      <w:r w:rsidR="00F63901">
        <w:rPr>
          <w:lang w:val="sr-Latn-BA"/>
        </w:rPr>
        <w:tab/>
      </w:r>
      <w:r w:rsidR="006D3383">
        <w:rPr>
          <w:lang w:val="sr-Latn-BA"/>
        </w:rPr>
        <w:t xml:space="preserve"> </w:t>
      </w:r>
    </w:p>
    <w:sectPr w:rsidR="00512CE8" w:rsidRPr="00396EB7" w:rsidSect="000A0DBE">
      <w:pgSz w:w="12240" w:h="15840" w:code="1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45" w:rsidRDefault="00B93345">
      <w:r>
        <w:separator/>
      </w:r>
    </w:p>
  </w:endnote>
  <w:endnote w:type="continuationSeparator" w:id="0">
    <w:p w:rsidR="00B93345" w:rsidRDefault="00B93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24" w:rsidRDefault="00197D20" w:rsidP="006524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01F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1F24" w:rsidRDefault="00401F24" w:rsidP="00FE3C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24" w:rsidRDefault="00197D20" w:rsidP="006524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01F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6A90">
      <w:rPr>
        <w:rStyle w:val="PageNumber"/>
        <w:noProof/>
      </w:rPr>
      <w:t>31</w:t>
    </w:r>
    <w:r>
      <w:rPr>
        <w:rStyle w:val="PageNumber"/>
      </w:rPr>
      <w:fldChar w:fldCharType="end"/>
    </w:r>
  </w:p>
  <w:p w:rsidR="00401F24" w:rsidRDefault="00401F24" w:rsidP="00FE3C7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24" w:rsidRPr="003532B6" w:rsidRDefault="00197D20">
    <w:pPr>
      <w:pStyle w:val="Footer"/>
      <w:jc w:val="right"/>
      <w:rPr>
        <w:color w:val="FFFFFF" w:themeColor="background1"/>
      </w:rPr>
    </w:pPr>
    <w:r w:rsidRPr="003532B6">
      <w:rPr>
        <w:color w:val="FFFFFF" w:themeColor="background1"/>
      </w:rPr>
      <w:fldChar w:fldCharType="begin"/>
    </w:r>
    <w:r w:rsidR="00401F24" w:rsidRPr="003532B6">
      <w:rPr>
        <w:color w:val="FFFFFF" w:themeColor="background1"/>
      </w:rPr>
      <w:instrText>PAGE   \* MERGEFORMAT</w:instrText>
    </w:r>
    <w:r w:rsidRPr="003532B6">
      <w:rPr>
        <w:color w:val="FFFFFF" w:themeColor="background1"/>
      </w:rPr>
      <w:fldChar w:fldCharType="separate"/>
    </w:r>
    <w:r w:rsidR="00C76A90" w:rsidRPr="00C76A90">
      <w:rPr>
        <w:noProof/>
        <w:color w:val="FFFFFF" w:themeColor="background1"/>
        <w:lang w:val="sr-Latn-CS"/>
      </w:rPr>
      <w:t>22</w:t>
    </w:r>
    <w:r w:rsidRPr="003532B6">
      <w:rPr>
        <w:color w:val="FFFFFF" w:themeColor="background1"/>
      </w:rPr>
      <w:fldChar w:fldCharType="end"/>
    </w:r>
  </w:p>
  <w:p w:rsidR="00401F24" w:rsidRDefault="00401F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45" w:rsidRDefault="00B93345">
      <w:r>
        <w:separator/>
      </w:r>
    </w:p>
  </w:footnote>
  <w:footnote w:type="continuationSeparator" w:id="0">
    <w:p w:rsidR="00B93345" w:rsidRDefault="00B93345">
      <w:r>
        <w:continuationSeparator/>
      </w:r>
    </w:p>
  </w:footnote>
  <w:footnote w:id="1">
    <w:p w:rsidR="00401F24" w:rsidRPr="0024285F" w:rsidRDefault="00401F24" w:rsidP="008048D0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Процјена остварења прихода на дан 31.12.2024. године, рађена је на основу извршених књижења, са стањем на дан 30.11.2024. године, и процијењених токова прихода, закључно са 31.12.2024. године.</w:t>
      </w:r>
    </w:p>
  </w:footnote>
  <w:footnote w:id="2">
    <w:p w:rsidR="00401F24" w:rsidRPr="0024285F" w:rsidRDefault="00401F24" w:rsidP="000B1484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Процјена остварења расхода на дан 31.12.2024. године, рађена је на основу извршених књижења, са стањем на дан 30.11.2024. године, и процијењених токова расхода, закључно са 31.12.2024. године.</w:t>
      </w:r>
    </w:p>
    <w:p w:rsidR="00401F24" w:rsidRPr="00021E16" w:rsidRDefault="00401F24" w:rsidP="000B1484">
      <w:pPr>
        <w:pStyle w:val="FootnoteText"/>
        <w:rPr>
          <w:lang w:val="sr-Cyrl-B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lang w:val="sr-Latn-CS"/>
      </w:rPr>
    </w:lvl>
  </w:abstractNum>
  <w:abstractNum w:abstractNumId="1">
    <w:nsid w:val="0003333B"/>
    <w:multiLevelType w:val="hybridMultilevel"/>
    <w:tmpl w:val="2EDE48E8"/>
    <w:lvl w:ilvl="0" w:tplc="99F4B8A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14F53"/>
    <w:multiLevelType w:val="hybridMultilevel"/>
    <w:tmpl w:val="54BAE0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16399"/>
    <w:multiLevelType w:val="hybridMultilevel"/>
    <w:tmpl w:val="5866B5E6"/>
    <w:lvl w:ilvl="0" w:tplc="1C680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A39BA"/>
    <w:multiLevelType w:val="hybridMultilevel"/>
    <w:tmpl w:val="96E0B482"/>
    <w:lvl w:ilvl="0" w:tplc="1C680D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574ECD"/>
    <w:multiLevelType w:val="hybridMultilevel"/>
    <w:tmpl w:val="D7CC4616"/>
    <w:lvl w:ilvl="0" w:tplc="9E7A1FC8">
      <w:start w:val="1"/>
      <w:numFmt w:val="decimal"/>
      <w:lvlText w:val="%1"/>
      <w:lvlJc w:val="right"/>
      <w:pPr>
        <w:ind w:left="720" w:hanging="360"/>
      </w:pPr>
      <w:rPr>
        <w:rFonts w:hint="default"/>
        <w:sz w:val="18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616CA"/>
    <w:multiLevelType w:val="hybridMultilevel"/>
    <w:tmpl w:val="CBF88C28"/>
    <w:lvl w:ilvl="0" w:tplc="1C680D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10441E"/>
    <w:multiLevelType w:val="hybridMultilevel"/>
    <w:tmpl w:val="06309F74"/>
    <w:lvl w:ilvl="0" w:tplc="1C680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A75FF"/>
    <w:multiLevelType w:val="hybridMultilevel"/>
    <w:tmpl w:val="1938CB3C"/>
    <w:lvl w:ilvl="0" w:tplc="483231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E40F7B"/>
    <w:multiLevelType w:val="hybridMultilevel"/>
    <w:tmpl w:val="492C9EA4"/>
    <w:lvl w:ilvl="0" w:tplc="483231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9133F8"/>
    <w:multiLevelType w:val="hybridMultilevel"/>
    <w:tmpl w:val="C2583CBE"/>
    <w:lvl w:ilvl="0" w:tplc="ED7C526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C5311"/>
    <w:multiLevelType w:val="hybridMultilevel"/>
    <w:tmpl w:val="3BE8BFB4"/>
    <w:lvl w:ilvl="0" w:tplc="0C766EC0">
      <w:start w:val="1"/>
      <w:numFmt w:val="decimal"/>
      <w:lvlText w:val="3.%1"/>
      <w:lvlJc w:val="left"/>
      <w:pPr>
        <w:ind w:left="970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690" w:hanging="360"/>
      </w:pPr>
    </w:lvl>
    <w:lvl w:ilvl="2" w:tplc="181A001B" w:tentative="1">
      <w:start w:val="1"/>
      <w:numFmt w:val="lowerRoman"/>
      <w:lvlText w:val="%3."/>
      <w:lvlJc w:val="right"/>
      <w:pPr>
        <w:ind w:left="2410" w:hanging="180"/>
      </w:pPr>
    </w:lvl>
    <w:lvl w:ilvl="3" w:tplc="181A000F" w:tentative="1">
      <w:start w:val="1"/>
      <w:numFmt w:val="decimal"/>
      <w:lvlText w:val="%4."/>
      <w:lvlJc w:val="left"/>
      <w:pPr>
        <w:ind w:left="3130" w:hanging="360"/>
      </w:pPr>
    </w:lvl>
    <w:lvl w:ilvl="4" w:tplc="181A0019" w:tentative="1">
      <w:start w:val="1"/>
      <w:numFmt w:val="lowerLetter"/>
      <w:lvlText w:val="%5."/>
      <w:lvlJc w:val="left"/>
      <w:pPr>
        <w:ind w:left="3850" w:hanging="360"/>
      </w:pPr>
    </w:lvl>
    <w:lvl w:ilvl="5" w:tplc="181A001B" w:tentative="1">
      <w:start w:val="1"/>
      <w:numFmt w:val="lowerRoman"/>
      <w:lvlText w:val="%6."/>
      <w:lvlJc w:val="right"/>
      <w:pPr>
        <w:ind w:left="4570" w:hanging="180"/>
      </w:pPr>
    </w:lvl>
    <w:lvl w:ilvl="6" w:tplc="181A000F" w:tentative="1">
      <w:start w:val="1"/>
      <w:numFmt w:val="decimal"/>
      <w:lvlText w:val="%7."/>
      <w:lvlJc w:val="left"/>
      <w:pPr>
        <w:ind w:left="5290" w:hanging="360"/>
      </w:pPr>
    </w:lvl>
    <w:lvl w:ilvl="7" w:tplc="181A0019" w:tentative="1">
      <w:start w:val="1"/>
      <w:numFmt w:val="lowerLetter"/>
      <w:lvlText w:val="%8."/>
      <w:lvlJc w:val="left"/>
      <w:pPr>
        <w:ind w:left="6010" w:hanging="360"/>
      </w:pPr>
    </w:lvl>
    <w:lvl w:ilvl="8" w:tplc="181A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2">
    <w:nsid w:val="28155F89"/>
    <w:multiLevelType w:val="hybridMultilevel"/>
    <w:tmpl w:val="88442AE6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C00637"/>
    <w:multiLevelType w:val="hybridMultilevel"/>
    <w:tmpl w:val="2CF4D228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D7859"/>
    <w:multiLevelType w:val="hybridMultilevel"/>
    <w:tmpl w:val="7540803E"/>
    <w:lvl w:ilvl="0" w:tplc="1C680D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3E7E56"/>
    <w:multiLevelType w:val="hybridMultilevel"/>
    <w:tmpl w:val="6CC6819A"/>
    <w:lvl w:ilvl="0" w:tplc="6C92A890">
      <w:start w:val="1"/>
      <w:numFmt w:val="decimal"/>
      <w:lvlText w:val="2.%1"/>
      <w:lvlJc w:val="center"/>
      <w:pPr>
        <w:ind w:left="958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678" w:hanging="360"/>
      </w:pPr>
    </w:lvl>
    <w:lvl w:ilvl="2" w:tplc="181A001B" w:tentative="1">
      <w:start w:val="1"/>
      <w:numFmt w:val="lowerRoman"/>
      <w:lvlText w:val="%3."/>
      <w:lvlJc w:val="right"/>
      <w:pPr>
        <w:ind w:left="2398" w:hanging="180"/>
      </w:pPr>
    </w:lvl>
    <w:lvl w:ilvl="3" w:tplc="181A000F" w:tentative="1">
      <w:start w:val="1"/>
      <w:numFmt w:val="decimal"/>
      <w:lvlText w:val="%4."/>
      <w:lvlJc w:val="left"/>
      <w:pPr>
        <w:ind w:left="3118" w:hanging="360"/>
      </w:pPr>
    </w:lvl>
    <w:lvl w:ilvl="4" w:tplc="181A0019" w:tentative="1">
      <w:start w:val="1"/>
      <w:numFmt w:val="lowerLetter"/>
      <w:lvlText w:val="%5."/>
      <w:lvlJc w:val="left"/>
      <w:pPr>
        <w:ind w:left="3838" w:hanging="360"/>
      </w:pPr>
    </w:lvl>
    <w:lvl w:ilvl="5" w:tplc="181A001B" w:tentative="1">
      <w:start w:val="1"/>
      <w:numFmt w:val="lowerRoman"/>
      <w:lvlText w:val="%6."/>
      <w:lvlJc w:val="right"/>
      <w:pPr>
        <w:ind w:left="4558" w:hanging="180"/>
      </w:pPr>
    </w:lvl>
    <w:lvl w:ilvl="6" w:tplc="181A000F" w:tentative="1">
      <w:start w:val="1"/>
      <w:numFmt w:val="decimal"/>
      <w:lvlText w:val="%7."/>
      <w:lvlJc w:val="left"/>
      <w:pPr>
        <w:ind w:left="5278" w:hanging="360"/>
      </w:pPr>
    </w:lvl>
    <w:lvl w:ilvl="7" w:tplc="181A0019" w:tentative="1">
      <w:start w:val="1"/>
      <w:numFmt w:val="lowerLetter"/>
      <w:lvlText w:val="%8."/>
      <w:lvlJc w:val="left"/>
      <w:pPr>
        <w:ind w:left="5998" w:hanging="360"/>
      </w:pPr>
    </w:lvl>
    <w:lvl w:ilvl="8" w:tplc="181A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6">
    <w:nsid w:val="3AAF0AB2"/>
    <w:multiLevelType w:val="hybridMultilevel"/>
    <w:tmpl w:val="CC00D828"/>
    <w:lvl w:ilvl="0" w:tplc="5638221E">
      <w:start w:val="1"/>
      <w:numFmt w:val="decimal"/>
      <w:lvlText w:val="1.%1"/>
      <w:lvlJc w:val="center"/>
      <w:pPr>
        <w:ind w:left="1434" w:hanging="360"/>
      </w:pPr>
      <w:rPr>
        <w:rFonts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2154" w:hanging="360"/>
      </w:pPr>
    </w:lvl>
    <w:lvl w:ilvl="2" w:tplc="181A001B" w:tentative="1">
      <w:start w:val="1"/>
      <w:numFmt w:val="lowerRoman"/>
      <w:lvlText w:val="%3."/>
      <w:lvlJc w:val="right"/>
      <w:pPr>
        <w:ind w:left="2874" w:hanging="180"/>
      </w:pPr>
    </w:lvl>
    <w:lvl w:ilvl="3" w:tplc="181A000F" w:tentative="1">
      <w:start w:val="1"/>
      <w:numFmt w:val="decimal"/>
      <w:lvlText w:val="%4."/>
      <w:lvlJc w:val="left"/>
      <w:pPr>
        <w:ind w:left="3594" w:hanging="360"/>
      </w:pPr>
    </w:lvl>
    <w:lvl w:ilvl="4" w:tplc="181A0019" w:tentative="1">
      <w:start w:val="1"/>
      <w:numFmt w:val="lowerLetter"/>
      <w:lvlText w:val="%5."/>
      <w:lvlJc w:val="left"/>
      <w:pPr>
        <w:ind w:left="4314" w:hanging="360"/>
      </w:pPr>
    </w:lvl>
    <w:lvl w:ilvl="5" w:tplc="181A001B" w:tentative="1">
      <w:start w:val="1"/>
      <w:numFmt w:val="lowerRoman"/>
      <w:lvlText w:val="%6."/>
      <w:lvlJc w:val="right"/>
      <w:pPr>
        <w:ind w:left="5034" w:hanging="180"/>
      </w:pPr>
    </w:lvl>
    <w:lvl w:ilvl="6" w:tplc="181A000F" w:tentative="1">
      <w:start w:val="1"/>
      <w:numFmt w:val="decimal"/>
      <w:lvlText w:val="%7."/>
      <w:lvlJc w:val="left"/>
      <w:pPr>
        <w:ind w:left="5754" w:hanging="360"/>
      </w:pPr>
    </w:lvl>
    <w:lvl w:ilvl="7" w:tplc="181A0019" w:tentative="1">
      <w:start w:val="1"/>
      <w:numFmt w:val="lowerLetter"/>
      <w:lvlText w:val="%8."/>
      <w:lvlJc w:val="left"/>
      <w:pPr>
        <w:ind w:left="6474" w:hanging="360"/>
      </w:pPr>
    </w:lvl>
    <w:lvl w:ilvl="8" w:tplc="181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>
    <w:nsid w:val="3BD174A9"/>
    <w:multiLevelType w:val="hybridMultilevel"/>
    <w:tmpl w:val="A65E0E26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9168CC"/>
    <w:multiLevelType w:val="hybridMultilevel"/>
    <w:tmpl w:val="108C280A"/>
    <w:lvl w:ilvl="0" w:tplc="1B74A908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442F7E2D"/>
    <w:multiLevelType w:val="hybridMultilevel"/>
    <w:tmpl w:val="1362D814"/>
    <w:lvl w:ilvl="0" w:tplc="349A5A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B046A4"/>
    <w:multiLevelType w:val="hybridMultilevel"/>
    <w:tmpl w:val="964C59BC"/>
    <w:lvl w:ilvl="0" w:tplc="99F4B8A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12B37"/>
    <w:multiLevelType w:val="hybridMultilevel"/>
    <w:tmpl w:val="A21EC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A14B63"/>
    <w:multiLevelType w:val="hybridMultilevel"/>
    <w:tmpl w:val="C9741586"/>
    <w:lvl w:ilvl="0" w:tplc="E3AAA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3">
    <w:nsid w:val="4AEA2DAC"/>
    <w:multiLevelType w:val="hybridMultilevel"/>
    <w:tmpl w:val="20885D36"/>
    <w:lvl w:ilvl="0" w:tplc="06649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275C19"/>
    <w:multiLevelType w:val="hybridMultilevel"/>
    <w:tmpl w:val="4DA07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733B85"/>
    <w:multiLevelType w:val="hybridMultilevel"/>
    <w:tmpl w:val="56C4EE7E"/>
    <w:lvl w:ilvl="0" w:tplc="D98A2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96627"/>
    <w:multiLevelType w:val="multilevel"/>
    <w:tmpl w:val="89DEB3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7">
    <w:nsid w:val="5CE75065"/>
    <w:multiLevelType w:val="hybridMultilevel"/>
    <w:tmpl w:val="21B46362"/>
    <w:lvl w:ilvl="0" w:tplc="F8069D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674BF"/>
    <w:multiLevelType w:val="hybridMultilevel"/>
    <w:tmpl w:val="AC76B48E"/>
    <w:lvl w:ilvl="0" w:tplc="222C3A5E">
      <w:start w:val="1"/>
      <w:numFmt w:val="decimal"/>
      <w:lvlText w:val="3.%1"/>
      <w:lvlJc w:val="left"/>
      <w:pPr>
        <w:ind w:left="1146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866" w:hanging="360"/>
      </w:pPr>
    </w:lvl>
    <w:lvl w:ilvl="2" w:tplc="181A001B" w:tentative="1">
      <w:start w:val="1"/>
      <w:numFmt w:val="lowerRoman"/>
      <w:lvlText w:val="%3."/>
      <w:lvlJc w:val="right"/>
      <w:pPr>
        <w:ind w:left="2586" w:hanging="180"/>
      </w:pPr>
    </w:lvl>
    <w:lvl w:ilvl="3" w:tplc="181A000F" w:tentative="1">
      <w:start w:val="1"/>
      <w:numFmt w:val="decimal"/>
      <w:lvlText w:val="%4."/>
      <w:lvlJc w:val="left"/>
      <w:pPr>
        <w:ind w:left="3306" w:hanging="360"/>
      </w:pPr>
    </w:lvl>
    <w:lvl w:ilvl="4" w:tplc="181A0019" w:tentative="1">
      <w:start w:val="1"/>
      <w:numFmt w:val="lowerLetter"/>
      <w:lvlText w:val="%5."/>
      <w:lvlJc w:val="left"/>
      <w:pPr>
        <w:ind w:left="4026" w:hanging="360"/>
      </w:pPr>
    </w:lvl>
    <w:lvl w:ilvl="5" w:tplc="181A001B" w:tentative="1">
      <w:start w:val="1"/>
      <w:numFmt w:val="lowerRoman"/>
      <w:lvlText w:val="%6."/>
      <w:lvlJc w:val="right"/>
      <w:pPr>
        <w:ind w:left="4746" w:hanging="180"/>
      </w:pPr>
    </w:lvl>
    <w:lvl w:ilvl="6" w:tplc="181A000F" w:tentative="1">
      <w:start w:val="1"/>
      <w:numFmt w:val="decimal"/>
      <w:lvlText w:val="%7."/>
      <w:lvlJc w:val="left"/>
      <w:pPr>
        <w:ind w:left="5466" w:hanging="360"/>
      </w:pPr>
    </w:lvl>
    <w:lvl w:ilvl="7" w:tplc="181A0019" w:tentative="1">
      <w:start w:val="1"/>
      <w:numFmt w:val="lowerLetter"/>
      <w:lvlText w:val="%8."/>
      <w:lvlJc w:val="left"/>
      <w:pPr>
        <w:ind w:left="6186" w:hanging="360"/>
      </w:pPr>
    </w:lvl>
    <w:lvl w:ilvl="8" w:tplc="18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4D80F69"/>
    <w:multiLevelType w:val="hybridMultilevel"/>
    <w:tmpl w:val="C2583CBE"/>
    <w:lvl w:ilvl="0" w:tplc="ED7C526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50265"/>
    <w:multiLevelType w:val="hybridMultilevel"/>
    <w:tmpl w:val="3B302C88"/>
    <w:lvl w:ilvl="0" w:tplc="778A5D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6477C"/>
    <w:multiLevelType w:val="hybridMultilevel"/>
    <w:tmpl w:val="CE88E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20089"/>
    <w:multiLevelType w:val="hybridMultilevel"/>
    <w:tmpl w:val="643CE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18361A"/>
    <w:multiLevelType w:val="hybridMultilevel"/>
    <w:tmpl w:val="9BDA7690"/>
    <w:lvl w:ilvl="0" w:tplc="99F4B8A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71B9B"/>
    <w:multiLevelType w:val="hybridMultilevel"/>
    <w:tmpl w:val="6430F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D5062"/>
    <w:multiLevelType w:val="hybridMultilevel"/>
    <w:tmpl w:val="331C2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D828DD"/>
    <w:multiLevelType w:val="hybridMultilevel"/>
    <w:tmpl w:val="8982D2BE"/>
    <w:lvl w:ilvl="0" w:tplc="7AE6577C">
      <w:start w:val="1"/>
      <w:numFmt w:val="decimal"/>
      <w:lvlText w:val="1.%1"/>
      <w:lvlJc w:val="center"/>
      <w:pPr>
        <w:ind w:left="1434" w:hanging="360"/>
      </w:pPr>
      <w:rPr>
        <w:rFonts w:cs="Times New Roman"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2154" w:hanging="360"/>
      </w:pPr>
    </w:lvl>
    <w:lvl w:ilvl="2" w:tplc="181A001B" w:tentative="1">
      <w:start w:val="1"/>
      <w:numFmt w:val="lowerRoman"/>
      <w:lvlText w:val="%3."/>
      <w:lvlJc w:val="right"/>
      <w:pPr>
        <w:ind w:left="2874" w:hanging="180"/>
      </w:pPr>
    </w:lvl>
    <w:lvl w:ilvl="3" w:tplc="181A000F" w:tentative="1">
      <w:start w:val="1"/>
      <w:numFmt w:val="decimal"/>
      <w:lvlText w:val="%4."/>
      <w:lvlJc w:val="left"/>
      <w:pPr>
        <w:ind w:left="3594" w:hanging="360"/>
      </w:pPr>
    </w:lvl>
    <w:lvl w:ilvl="4" w:tplc="181A0019" w:tentative="1">
      <w:start w:val="1"/>
      <w:numFmt w:val="lowerLetter"/>
      <w:lvlText w:val="%5."/>
      <w:lvlJc w:val="left"/>
      <w:pPr>
        <w:ind w:left="4314" w:hanging="360"/>
      </w:pPr>
    </w:lvl>
    <w:lvl w:ilvl="5" w:tplc="181A001B" w:tentative="1">
      <w:start w:val="1"/>
      <w:numFmt w:val="lowerRoman"/>
      <w:lvlText w:val="%6."/>
      <w:lvlJc w:val="right"/>
      <w:pPr>
        <w:ind w:left="5034" w:hanging="180"/>
      </w:pPr>
    </w:lvl>
    <w:lvl w:ilvl="6" w:tplc="181A000F" w:tentative="1">
      <w:start w:val="1"/>
      <w:numFmt w:val="decimal"/>
      <w:lvlText w:val="%7."/>
      <w:lvlJc w:val="left"/>
      <w:pPr>
        <w:ind w:left="5754" w:hanging="360"/>
      </w:pPr>
    </w:lvl>
    <w:lvl w:ilvl="7" w:tplc="181A0019" w:tentative="1">
      <w:start w:val="1"/>
      <w:numFmt w:val="lowerLetter"/>
      <w:lvlText w:val="%8."/>
      <w:lvlJc w:val="left"/>
      <w:pPr>
        <w:ind w:left="6474" w:hanging="360"/>
      </w:pPr>
    </w:lvl>
    <w:lvl w:ilvl="8" w:tplc="181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>
    <w:nsid w:val="7E33318B"/>
    <w:multiLevelType w:val="hybridMultilevel"/>
    <w:tmpl w:val="C33670E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4"/>
  </w:num>
  <w:num w:numId="4">
    <w:abstractNumId w:val="18"/>
  </w:num>
  <w:num w:numId="5">
    <w:abstractNumId w:val="25"/>
  </w:num>
  <w:num w:numId="6">
    <w:abstractNumId w:val="2"/>
  </w:num>
  <w:num w:numId="7">
    <w:abstractNumId w:val="26"/>
  </w:num>
  <w:num w:numId="8">
    <w:abstractNumId w:val="22"/>
  </w:num>
  <w:num w:numId="9">
    <w:abstractNumId w:val="19"/>
  </w:num>
  <w:num w:numId="10">
    <w:abstractNumId w:val="23"/>
  </w:num>
  <w:num w:numId="11">
    <w:abstractNumId w:val="34"/>
  </w:num>
  <w:num w:numId="12">
    <w:abstractNumId w:val="32"/>
  </w:num>
  <w:num w:numId="13">
    <w:abstractNumId w:val="4"/>
  </w:num>
  <w:num w:numId="14">
    <w:abstractNumId w:val="35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30"/>
  </w:num>
  <w:num w:numId="19">
    <w:abstractNumId w:val="37"/>
  </w:num>
  <w:num w:numId="20">
    <w:abstractNumId w:val="33"/>
  </w:num>
  <w:num w:numId="21">
    <w:abstractNumId w:val="27"/>
  </w:num>
  <w:num w:numId="22">
    <w:abstractNumId w:val="5"/>
  </w:num>
  <w:num w:numId="23">
    <w:abstractNumId w:val="6"/>
  </w:num>
  <w:num w:numId="24">
    <w:abstractNumId w:val="9"/>
  </w:num>
  <w:num w:numId="25">
    <w:abstractNumId w:val="17"/>
  </w:num>
  <w:num w:numId="26">
    <w:abstractNumId w:val="8"/>
  </w:num>
  <w:num w:numId="27">
    <w:abstractNumId w:val="0"/>
  </w:num>
  <w:num w:numId="28">
    <w:abstractNumId w:val="31"/>
  </w:num>
  <w:num w:numId="29">
    <w:abstractNumId w:val="13"/>
  </w:num>
  <w:num w:numId="30">
    <w:abstractNumId w:val="10"/>
  </w:num>
  <w:num w:numId="31">
    <w:abstractNumId w:val="7"/>
  </w:num>
  <w:num w:numId="32">
    <w:abstractNumId w:val="29"/>
  </w:num>
  <w:num w:numId="33">
    <w:abstractNumId w:val="0"/>
    <w:lvlOverride w:ilvl="0">
      <w:startOverride w:val="1"/>
    </w:lvlOverride>
  </w:num>
  <w:num w:numId="34">
    <w:abstractNumId w:val="20"/>
  </w:num>
  <w:num w:numId="35">
    <w:abstractNumId w:val="1"/>
  </w:num>
  <w:num w:numId="36">
    <w:abstractNumId w:val="36"/>
  </w:num>
  <w:num w:numId="37">
    <w:abstractNumId w:val="16"/>
  </w:num>
  <w:num w:numId="38">
    <w:abstractNumId w:val="15"/>
  </w:num>
  <w:num w:numId="39">
    <w:abstractNumId w:val="11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8FB"/>
    <w:rsid w:val="000008E8"/>
    <w:rsid w:val="00000E07"/>
    <w:rsid w:val="00002E40"/>
    <w:rsid w:val="00003563"/>
    <w:rsid w:val="00004C68"/>
    <w:rsid w:val="00004DE8"/>
    <w:rsid w:val="0000654E"/>
    <w:rsid w:val="000076E0"/>
    <w:rsid w:val="00013E19"/>
    <w:rsid w:val="000204E5"/>
    <w:rsid w:val="00021E16"/>
    <w:rsid w:val="0002406F"/>
    <w:rsid w:val="000251A5"/>
    <w:rsid w:val="000307AF"/>
    <w:rsid w:val="00034827"/>
    <w:rsid w:val="000361DF"/>
    <w:rsid w:val="00041DB2"/>
    <w:rsid w:val="00043639"/>
    <w:rsid w:val="00044E29"/>
    <w:rsid w:val="0004580B"/>
    <w:rsid w:val="000470B6"/>
    <w:rsid w:val="00052DAE"/>
    <w:rsid w:val="000555CA"/>
    <w:rsid w:val="00057AFF"/>
    <w:rsid w:val="00060916"/>
    <w:rsid w:val="00061176"/>
    <w:rsid w:val="00065A1A"/>
    <w:rsid w:val="00066930"/>
    <w:rsid w:val="00067017"/>
    <w:rsid w:val="00070688"/>
    <w:rsid w:val="000711F4"/>
    <w:rsid w:val="0007199F"/>
    <w:rsid w:val="00075CB4"/>
    <w:rsid w:val="00075F60"/>
    <w:rsid w:val="00084095"/>
    <w:rsid w:val="00084534"/>
    <w:rsid w:val="00095ADA"/>
    <w:rsid w:val="00096274"/>
    <w:rsid w:val="000A0DBE"/>
    <w:rsid w:val="000A1330"/>
    <w:rsid w:val="000A3EB4"/>
    <w:rsid w:val="000A3FB6"/>
    <w:rsid w:val="000A5027"/>
    <w:rsid w:val="000A6CAE"/>
    <w:rsid w:val="000B0549"/>
    <w:rsid w:val="000B0FFB"/>
    <w:rsid w:val="000B1484"/>
    <w:rsid w:val="000B2B71"/>
    <w:rsid w:val="000B4A2D"/>
    <w:rsid w:val="000B6A7A"/>
    <w:rsid w:val="000C011D"/>
    <w:rsid w:val="000C040C"/>
    <w:rsid w:val="000C7322"/>
    <w:rsid w:val="000D1286"/>
    <w:rsid w:val="000D2B92"/>
    <w:rsid w:val="000D2CFD"/>
    <w:rsid w:val="000D4E9A"/>
    <w:rsid w:val="000D648F"/>
    <w:rsid w:val="000D7A38"/>
    <w:rsid w:val="000E008C"/>
    <w:rsid w:val="000F365F"/>
    <w:rsid w:val="00104FEB"/>
    <w:rsid w:val="0011036C"/>
    <w:rsid w:val="0011087F"/>
    <w:rsid w:val="00115EA7"/>
    <w:rsid w:val="00116C44"/>
    <w:rsid w:val="0012765F"/>
    <w:rsid w:val="00132E4C"/>
    <w:rsid w:val="00133400"/>
    <w:rsid w:val="00140652"/>
    <w:rsid w:val="00140F57"/>
    <w:rsid w:val="001445D2"/>
    <w:rsid w:val="00144CCF"/>
    <w:rsid w:val="0015231E"/>
    <w:rsid w:val="00155477"/>
    <w:rsid w:val="00160914"/>
    <w:rsid w:val="00162EB3"/>
    <w:rsid w:val="0016386C"/>
    <w:rsid w:val="001647AD"/>
    <w:rsid w:val="0016799A"/>
    <w:rsid w:val="001704BF"/>
    <w:rsid w:val="00174ACD"/>
    <w:rsid w:val="00175940"/>
    <w:rsid w:val="001816D7"/>
    <w:rsid w:val="00182657"/>
    <w:rsid w:val="001923CC"/>
    <w:rsid w:val="00194A3D"/>
    <w:rsid w:val="001957C3"/>
    <w:rsid w:val="00195DB1"/>
    <w:rsid w:val="0019608B"/>
    <w:rsid w:val="00196C17"/>
    <w:rsid w:val="00196E46"/>
    <w:rsid w:val="00197D20"/>
    <w:rsid w:val="001A280B"/>
    <w:rsid w:val="001A35A3"/>
    <w:rsid w:val="001A3929"/>
    <w:rsid w:val="001A3C8F"/>
    <w:rsid w:val="001A7E9B"/>
    <w:rsid w:val="001B0325"/>
    <w:rsid w:val="001B48F6"/>
    <w:rsid w:val="001B69BF"/>
    <w:rsid w:val="001C5EEC"/>
    <w:rsid w:val="001D00FF"/>
    <w:rsid w:val="001D659B"/>
    <w:rsid w:val="001D77B6"/>
    <w:rsid w:val="001E02D6"/>
    <w:rsid w:val="001E2299"/>
    <w:rsid w:val="001E255E"/>
    <w:rsid w:val="001E3A06"/>
    <w:rsid w:val="001E4CEB"/>
    <w:rsid w:val="001E5B9B"/>
    <w:rsid w:val="001F4E2D"/>
    <w:rsid w:val="001F6B72"/>
    <w:rsid w:val="001F797A"/>
    <w:rsid w:val="001F7CBA"/>
    <w:rsid w:val="0020068C"/>
    <w:rsid w:val="00200D9F"/>
    <w:rsid w:val="00204139"/>
    <w:rsid w:val="002053B2"/>
    <w:rsid w:val="0020637D"/>
    <w:rsid w:val="00207362"/>
    <w:rsid w:val="002120F8"/>
    <w:rsid w:val="00217588"/>
    <w:rsid w:val="002235FF"/>
    <w:rsid w:val="00225859"/>
    <w:rsid w:val="002341B3"/>
    <w:rsid w:val="00242660"/>
    <w:rsid w:val="0024285F"/>
    <w:rsid w:val="0024673B"/>
    <w:rsid w:val="00253A49"/>
    <w:rsid w:val="0025460D"/>
    <w:rsid w:val="00254967"/>
    <w:rsid w:val="00256075"/>
    <w:rsid w:val="00257C93"/>
    <w:rsid w:val="00260337"/>
    <w:rsid w:val="002620CA"/>
    <w:rsid w:val="00263DD1"/>
    <w:rsid w:val="00265A4A"/>
    <w:rsid w:val="00270388"/>
    <w:rsid w:val="002718F6"/>
    <w:rsid w:val="00271E37"/>
    <w:rsid w:val="00277F5E"/>
    <w:rsid w:val="002867C5"/>
    <w:rsid w:val="00296C1D"/>
    <w:rsid w:val="002973A7"/>
    <w:rsid w:val="00297AA0"/>
    <w:rsid w:val="002A15C8"/>
    <w:rsid w:val="002A4C3B"/>
    <w:rsid w:val="002A5C87"/>
    <w:rsid w:val="002A66A5"/>
    <w:rsid w:val="002A68C8"/>
    <w:rsid w:val="002A7E74"/>
    <w:rsid w:val="002B6492"/>
    <w:rsid w:val="002C4095"/>
    <w:rsid w:val="002C6782"/>
    <w:rsid w:val="002D0142"/>
    <w:rsid w:val="002D5184"/>
    <w:rsid w:val="002D535B"/>
    <w:rsid w:val="002D654A"/>
    <w:rsid w:val="002D6E44"/>
    <w:rsid w:val="002E2988"/>
    <w:rsid w:val="002E708E"/>
    <w:rsid w:val="002F05E7"/>
    <w:rsid w:val="002F07EC"/>
    <w:rsid w:val="002F40DF"/>
    <w:rsid w:val="00314C36"/>
    <w:rsid w:val="00315169"/>
    <w:rsid w:val="00317E10"/>
    <w:rsid w:val="00322385"/>
    <w:rsid w:val="00335899"/>
    <w:rsid w:val="00335FDB"/>
    <w:rsid w:val="003374A4"/>
    <w:rsid w:val="00341A8F"/>
    <w:rsid w:val="00342501"/>
    <w:rsid w:val="00345148"/>
    <w:rsid w:val="00345859"/>
    <w:rsid w:val="00347A66"/>
    <w:rsid w:val="00350D3E"/>
    <w:rsid w:val="003532B6"/>
    <w:rsid w:val="00354268"/>
    <w:rsid w:val="00354B39"/>
    <w:rsid w:val="0035755C"/>
    <w:rsid w:val="003600B3"/>
    <w:rsid w:val="00361E9F"/>
    <w:rsid w:val="003622E0"/>
    <w:rsid w:val="00364B09"/>
    <w:rsid w:val="00364B0D"/>
    <w:rsid w:val="0036675D"/>
    <w:rsid w:val="003728A6"/>
    <w:rsid w:val="00381F13"/>
    <w:rsid w:val="0038210A"/>
    <w:rsid w:val="0038671F"/>
    <w:rsid w:val="00392628"/>
    <w:rsid w:val="00393BC2"/>
    <w:rsid w:val="003951BF"/>
    <w:rsid w:val="00396EB7"/>
    <w:rsid w:val="003A0315"/>
    <w:rsid w:val="003A0A8B"/>
    <w:rsid w:val="003A1B06"/>
    <w:rsid w:val="003A3BE0"/>
    <w:rsid w:val="003B0B35"/>
    <w:rsid w:val="003B135F"/>
    <w:rsid w:val="003B1D14"/>
    <w:rsid w:val="003B2382"/>
    <w:rsid w:val="003B5CC0"/>
    <w:rsid w:val="003C458D"/>
    <w:rsid w:val="003C7303"/>
    <w:rsid w:val="003D3F43"/>
    <w:rsid w:val="003D4C1C"/>
    <w:rsid w:val="003D6B17"/>
    <w:rsid w:val="003E06C2"/>
    <w:rsid w:val="003E22C4"/>
    <w:rsid w:val="003E542D"/>
    <w:rsid w:val="003E591B"/>
    <w:rsid w:val="003F72F0"/>
    <w:rsid w:val="00400382"/>
    <w:rsid w:val="00401F24"/>
    <w:rsid w:val="00404940"/>
    <w:rsid w:val="004052BF"/>
    <w:rsid w:val="00407948"/>
    <w:rsid w:val="00411482"/>
    <w:rsid w:val="00415104"/>
    <w:rsid w:val="004158ED"/>
    <w:rsid w:val="004220AA"/>
    <w:rsid w:val="00423BA3"/>
    <w:rsid w:val="0042716F"/>
    <w:rsid w:val="00430399"/>
    <w:rsid w:val="00436DFC"/>
    <w:rsid w:val="00442F95"/>
    <w:rsid w:val="00447CE6"/>
    <w:rsid w:val="00450E6D"/>
    <w:rsid w:val="00454816"/>
    <w:rsid w:val="00455133"/>
    <w:rsid w:val="00460244"/>
    <w:rsid w:val="0046147E"/>
    <w:rsid w:val="00463960"/>
    <w:rsid w:val="004653F8"/>
    <w:rsid w:val="004657A2"/>
    <w:rsid w:val="00470362"/>
    <w:rsid w:val="00473754"/>
    <w:rsid w:val="00482836"/>
    <w:rsid w:val="00483A79"/>
    <w:rsid w:val="00483B3D"/>
    <w:rsid w:val="00483FFB"/>
    <w:rsid w:val="004847F9"/>
    <w:rsid w:val="00490AF5"/>
    <w:rsid w:val="0049150E"/>
    <w:rsid w:val="0049424A"/>
    <w:rsid w:val="00495980"/>
    <w:rsid w:val="004A05BF"/>
    <w:rsid w:val="004A0E99"/>
    <w:rsid w:val="004A0FC4"/>
    <w:rsid w:val="004A43D1"/>
    <w:rsid w:val="004A47A2"/>
    <w:rsid w:val="004A67CA"/>
    <w:rsid w:val="004A7D58"/>
    <w:rsid w:val="004B4DCE"/>
    <w:rsid w:val="004B574A"/>
    <w:rsid w:val="004C3389"/>
    <w:rsid w:val="004C3623"/>
    <w:rsid w:val="004C57BA"/>
    <w:rsid w:val="004C6BAE"/>
    <w:rsid w:val="004C7FBE"/>
    <w:rsid w:val="004D2BE3"/>
    <w:rsid w:val="004D2CCE"/>
    <w:rsid w:val="004D7A56"/>
    <w:rsid w:val="004E228F"/>
    <w:rsid w:val="004F36F3"/>
    <w:rsid w:val="004F45B4"/>
    <w:rsid w:val="004F45C3"/>
    <w:rsid w:val="004F6881"/>
    <w:rsid w:val="0050162E"/>
    <w:rsid w:val="00505390"/>
    <w:rsid w:val="0050623B"/>
    <w:rsid w:val="005076D6"/>
    <w:rsid w:val="005123D3"/>
    <w:rsid w:val="00512CE8"/>
    <w:rsid w:val="00515747"/>
    <w:rsid w:val="00524146"/>
    <w:rsid w:val="00524A32"/>
    <w:rsid w:val="005255B2"/>
    <w:rsid w:val="00530F4C"/>
    <w:rsid w:val="005340C2"/>
    <w:rsid w:val="00534B38"/>
    <w:rsid w:val="00537209"/>
    <w:rsid w:val="005425F0"/>
    <w:rsid w:val="00542F93"/>
    <w:rsid w:val="00543539"/>
    <w:rsid w:val="005441A3"/>
    <w:rsid w:val="00545D20"/>
    <w:rsid w:val="00547B4C"/>
    <w:rsid w:val="00551F35"/>
    <w:rsid w:val="00554B1D"/>
    <w:rsid w:val="00557785"/>
    <w:rsid w:val="00557A84"/>
    <w:rsid w:val="00557E81"/>
    <w:rsid w:val="00567AEB"/>
    <w:rsid w:val="00567D75"/>
    <w:rsid w:val="0057042E"/>
    <w:rsid w:val="00570DD4"/>
    <w:rsid w:val="0057170C"/>
    <w:rsid w:val="0057259E"/>
    <w:rsid w:val="00574040"/>
    <w:rsid w:val="005861E2"/>
    <w:rsid w:val="00587761"/>
    <w:rsid w:val="005902EE"/>
    <w:rsid w:val="005915A2"/>
    <w:rsid w:val="00593A30"/>
    <w:rsid w:val="00594892"/>
    <w:rsid w:val="005A0B52"/>
    <w:rsid w:val="005A1625"/>
    <w:rsid w:val="005A2143"/>
    <w:rsid w:val="005A224B"/>
    <w:rsid w:val="005A407A"/>
    <w:rsid w:val="005A446C"/>
    <w:rsid w:val="005A56A0"/>
    <w:rsid w:val="005A6467"/>
    <w:rsid w:val="005B0CE1"/>
    <w:rsid w:val="005B18AC"/>
    <w:rsid w:val="005B2689"/>
    <w:rsid w:val="005B7476"/>
    <w:rsid w:val="005C01C3"/>
    <w:rsid w:val="005C392F"/>
    <w:rsid w:val="005C3D49"/>
    <w:rsid w:val="005D1134"/>
    <w:rsid w:val="005D2435"/>
    <w:rsid w:val="005D3DFF"/>
    <w:rsid w:val="005D4247"/>
    <w:rsid w:val="005D4F83"/>
    <w:rsid w:val="005E0C90"/>
    <w:rsid w:val="005E1592"/>
    <w:rsid w:val="005F13D5"/>
    <w:rsid w:val="005F2F2A"/>
    <w:rsid w:val="005F38AA"/>
    <w:rsid w:val="005F5D47"/>
    <w:rsid w:val="005F70A6"/>
    <w:rsid w:val="00605F70"/>
    <w:rsid w:val="00606790"/>
    <w:rsid w:val="00607188"/>
    <w:rsid w:val="006079FE"/>
    <w:rsid w:val="0061073B"/>
    <w:rsid w:val="006113DE"/>
    <w:rsid w:val="00615BB8"/>
    <w:rsid w:val="00617383"/>
    <w:rsid w:val="0062201E"/>
    <w:rsid w:val="006236C9"/>
    <w:rsid w:val="006261AD"/>
    <w:rsid w:val="006316B2"/>
    <w:rsid w:val="00631F10"/>
    <w:rsid w:val="00635F33"/>
    <w:rsid w:val="00637FAE"/>
    <w:rsid w:val="00647339"/>
    <w:rsid w:val="006474D1"/>
    <w:rsid w:val="006524D6"/>
    <w:rsid w:val="00656896"/>
    <w:rsid w:val="00661534"/>
    <w:rsid w:val="00662DA8"/>
    <w:rsid w:val="0066453C"/>
    <w:rsid w:val="006646FE"/>
    <w:rsid w:val="006708B1"/>
    <w:rsid w:val="0067159C"/>
    <w:rsid w:val="0067379C"/>
    <w:rsid w:val="006759E1"/>
    <w:rsid w:val="00676015"/>
    <w:rsid w:val="0067607D"/>
    <w:rsid w:val="006778CF"/>
    <w:rsid w:val="00680BEF"/>
    <w:rsid w:val="00683021"/>
    <w:rsid w:val="00684C64"/>
    <w:rsid w:val="006873AA"/>
    <w:rsid w:val="00690F29"/>
    <w:rsid w:val="006940A5"/>
    <w:rsid w:val="006942AA"/>
    <w:rsid w:val="0069552A"/>
    <w:rsid w:val="00696C05"/>
    <w:rsid w:val="00696DF6"/>
    <w:rsid w:val="006A54B3"/>
    <w:rsid w:val="006A6587"/>
    <w:rsid w:val="006B02BA"/>
    <w:rsid w:val="006B14C5"/>
    <w:rsid w:val="006B33DF"/>
    <w:rsid w:val="006C26F9"/>
    <w:rsid w:val="006C4FF9"/>
    <w:rsid w:val="006C6DE4"/>
    <w:rsid w:val="006D136A"/>
    <w:rsid w:val="006D199A"/>
    <w:rsid w:val="006D3383"/>
    <w:rsid w:val="006D57C1"/>
    <w:rsid w:val="006D5BD5"/>
    <w:rsid w:val="006D6D46"/>
    <w:rsid w:val="006E0137"/>
    <w:rsid w:val="006E290C"/>
    <w:rsid w:val="006E58AD"/>
    <w:rsid w:val="006E79C0"/>
    <w:rsid w:val="00700946"/>
    <w:rsid w:val="00702062"/>
    <w:rsid w:val="00714573"/>
    <w:rsid w:val="00720775"/>
    <w:rsid w:val="00724502"/>
    <w:rsid w:val="00725BFB"/>
    <w:rsid w:val="007317BA"/>
    <w:rsid w:val="00735497"/>
    <w:rsid w:val="0073592A"/>
    <w:rsid w:val="00736047"/>
    <w:rsid w:val="007371E3"/>
    <w:rsid w:val="0073760C"/>
    <w:rsid w:val="00741CCE"/>
    <w:rsid w:val="007431FC"/>
    <w:rsid w:val="00743D63"/>
    <w:rsid w:val="0074543C"/>
    <w:rsid w:val="00746FA7"/>
    <w:rsid w:val="007507AE"/>
    <w:rsid w:val="00750E07"/>
    <w:rsid w:val="0075290B"/>
    <w:rsid w:val="0075313B"/>
    <w:rsid w:val="00761BAD"/>
    <w:rsid w:val="007656A6"/>
    <w:rsid w:val="00765858"/>
    <w:rsid w:val="00767467"/>
    <w:rsid w:val="0076764D"/>
    <w:rsid w:val="00770AF9"/>
    <w:rsid w:val="0077420B"/>
    <w:rsid w:val="0077545F"/>
    <w:rsid w:val="00777220"/>
    <w:rsid w:val="00780617"/>
    <w:rsid w:val="00781C36"/>
    <w:rsid w:val="007848B9"/>
    <w:rsid w:val="00793E5C"/>
    <w:rsid w:val="007947EE"/>
    <w:rsid w:val="007A002B"/>
    <w:rsid w:val="007A05E0"/>
    <w:rsid w:val="007A4824"/>
    <w:rsid w:val="007A6D23"/>
    <w:rsid w:val="007B117D"/>
    <w:rsid w:val="007B342D"/>
    <w:rsid w:val="007C0E52"/>
    <w:rsid w:val="007C2136"/>
    <w:rsid w:val="007C4F03"/>
    <w:rsid w:val="007C71A8"/>
    <w:rsid w:val="007D6FA1"/>
    <w:rsid w:val="007E20A8"/>
    <w:rsid w:val="007E58D6"/>
    <w:rsid w:val="007E5F94"/>
    <w:rsid w:val="007E7C66"/>
    <w:rsid w:val="007F130E"/>
    <w:rsid w:val="00803849"/>
    <w:rsid w:val="008043DA"/>
    <w:rsid w:val="008048D0"/>
    <w:rsid w:val="00804973"/>
    <w:rsid w:val="00804BE3"/>
    <w:rsid w:val="00805E25"/>
    <w:rsid w:val="00806161"/>
    <w:rsid w:val="00806F80"/>
    <w:rsid w:val="0081043D"/>
    <w:rsid w:val="0081622F"/>
    <w:rsid w:val="008163F4"/>
    <w:rsid w:val="0081659F"/>
    <w:rsid w:val="00822A1F"/>
    <w:rsid w:val="00825742"/>
    <w:rsid w:val="00826A4C"/>
    <w:rsid w:val="00831FF8"/>
    <w:rsid w:val="0083434F"/>
    <w:rsid w:val="00836C10"/>
    <w:rsid w:val="00844FD7"/>
    <w:rsid w:val="00844FE5"/>
    <w:rsid w:val="00846F79"/>
    <w:rsid w:val="0085119C"/>
    <w:rsid w:val="0085299E"/>
    <w:rsid w:val="00854910"/>
    <w:rsid w:val="008601C7"/>
    <w:rsid w:val="008630E6"/>
    <w:rsid w:val="008632B9"/>
    <w:rsid w:val="008638FB"/>
    <w:rsid w:val="00871FB2"/>
    <w:rsid w:val="00875801"/>
    <w:rsid w:val="00875D63"/>
    <w:rsid w:val="00876734"/>
    <w:rsid w:val="008776A1"/>
    <w:rsid w:val="00880925"/>
    <w:rsid w:val="00880AAA"/>
    <w:rsid w:val="00883339"/>
    <w:rsid w:val="008834A8"/>
    <w:rsid w:val="00884423"/>
    <w:rsid w:val="008876F4"/>
    <w:rsid w:val="00887A04"/>
    <w:rsid w:val="00892293"/>
    <w:rsid w:val="00893830"/>
    <w:rsid w:val="0089534B"/>
    <w:rsid w:val="008A4C41"/>
    <w:rsid w:val="008B14B3"/>
    <w:rsid w:val="008B3DEE"/>
    <w:rsid w:val="008B5FD0"/>
    <w:rsid w:val="008C01F7"/>
    <w:rsid w:val="008C0AF1"/>
    <w:rsid w:val="008C49EB"/>
    <w:rsid w:val="008C6919"/>
    <w:rsid w:val="008C7DDC"/>
    <w:rsid w:val="008D0617"/>
    <w:rsid w:val="008D3BF4"/>
    <w:rsid w:val="008D5149"/>
    <w:rsid w:val="008E1181"/>
    <w:rsid w:val="008E1572"/>
    <w:rsid w:val="008E55F4"/>
    <w:rsid w:val="008E6A7C"/>
    <w:rsid w:val="008E7C29"/>
    <w:rsid w:val="008F0D2B"/>
    <w:rsid w:val="008F0DB5"/>
    <w:rsid w:val="008F1C04"/>
    <w:rsid w:val="008F5D14"/>
    <w:rsid w:val="00905E34"/>
    <w:rsid w:val="00907153"/>
    <w:rsid w:val="00911A69"/>
    <w:rsid w:val="00911DE8"/>
    <w:rsid w:val="009129D1"/>
    <w:rsid w:val="00915A2A"/>
    <w:rsid w:val="00916750"/>
    <w:rsid w:val="009201C4"/>
    <w:rsid w:val="00920305"/>
    <w:rsid w:val="00920F60"/>
    <w:rsid w:val="00922E39"/>
    <w:rsid w:val="00924CD8"/>
    <w:rsid w:val="0093698A"/>
    <w:rsid w:val="00942025"/>
    <w:rsid w:val="00943FBE"/>
    <w:rsid w:val="00944532"/>
    <w:rsid w:val="00945C01"/>
    <w:rsid w:val="00947620"/>
    <w:rsid w:val="0095142B"/>
    <w:rsid w:val="0095351D"/>
    <w:rsid w:val="00955B75"/>
    <w:rsid w:val="00957511"/>
    <w:rsid w:val="00965347"/>
    <w:rsid w:val="00966721"/>
    <w:rsid w:val="00971AC9"/>
    <w:rsid w:val="009746A5"/>
    <w:rsid w:val="00975E1B"/>
    <w:rsid w:val="00980599"/>
    <w:rsid w:val="00980FE3"/>
    <w:rsid w:val="00983CAB"/>
    <w:rsid w:val="00984857"/>
    <w:rsid w:val="00985837"/>
    <w:rsid w:val="009906FE"/>
    <w:rsid w:val="00994EA7"/>
    <w:rsid w:val="00997F66"/>
    <w:rsid w:val="009A0CF6"/>
    <w:rsid w:val="009A156B"/>
    <w:rsid w:val="009A2542"/>
    <w:rsid w:val="009A3F35"/>
    <w:rsid w:val="009A63CF"/>
    <w:rsid w:val="009B0152"/>
    <w:rsid w:val="009B1D01"/>
    <w:rsid w:val="009B446A"/>
    <w:rsid w:val="009B6974"/>
    <w:rsid w:val="009B7A9C"/>
    <w:rsid w:val="009C0487"/>
    <w:rsid w:val="009C1C03"/>
    <w:rsid w:val="009C2DA4"/>
    <w:rsid w:val="009C4AB2"/>
    <w:rsid w:val="009D4EFC"/>
    <w:rsid w:val="009D7BA1"/>
    <w:rsid w:val="009E174B"/>
    <w:rsid w:val="009F0137"/>
    <w:rsid w:val="009F0C60"/>
    <w:rsid w:val="009F2706"/>
    <w:rsid w:val="009F27E4"/>
    <w:rsid w:val="009F665D"/>
    <w:rsid w:val="009F69EF"/>
    <w:rsid w:val="00A01974"/>
    <w:rsid w:val="00A01E11"/>
    <w:rsid w:val="00A04194"/>
    <w:rsid w:val="00A12290"/>
    <w:rsid w:val="00A130F7"/>
    <w:rsid w:val="00A131F5"/>
    <w:rsid w:val="00A241EB"/>
    <w:rsid w:val="00A25712"/>
    <w:rsid w:val="00A25A24"/>
    <w:rsid w:val="00A25CD2"/>
    <w:rsid w:val="00A301E0"/>
    <w:rsid w:val="00A35827"/>
    <w:rsid w:val="00A403FA"/>
    <w:rsid w:val="00A40B4E"/>
    <w:rsid w:val="00A42C9F"/>
    <w:rsid w:val="00A51888"/>
    <w:rsid w:val="00A56916"/>
    <w:rsid w:val="00A63C50"/>
    <w:rsid w:val="00A655E6"/>
    <w:rsid w:val="00A70FDB"/>
    <w:rsid w:val="00A8103C"/>
    <w:rsid w:val="00A81A3D"/>
    <w:rsid w:val="00A83A9E"/>
    <w:rsid w:val="00A83ADC"/>
    <w:rsid w:val="00A87620"/>
    <w:rsid w:val="00A90A48"/>
    <w:rsid w:val="00A95CDE"/>
    <w:rsid w:val="00AA03C8"/>
    <w:rsid w:val="00AA3C92"/>
    <w:rsid w:val="00AA6874"/>
    <w:rsid w:val="00AA7C5E"/>
    <w:rsid w:val="00AB0CFD"/>
    <w:rsid w:val="00AB1689"/>
    <w:rsid w:val="00AB6A9C"/>
    <w:rsid w:val="00AB7CB3"/>
    <w:rsid w:val="00AC28AE"/>
    <w:rsid w:val="00AC77A7"/>
    <w:rsid w:val="00AC7C31"/>
    <w:rsid w:val="00AD1101"/>
    <w:rsid w:val="00AD1DD9"/>
    <w:rsid w:val="00AD444D"/>
    <w:rsid w:val="00AD45C8"/>
    <w:rsid w:val="00AD482E"/>
    <w:rsid w:val="00AD699B"/>
    <w:rsid w:val="00AE2104"/>
    <w:rsid w:val="00AE2236"/>
    <w:rsid w:val="00AE4161"/>
    <w:rsid w:val="00AE7C28"/>
    <w:rsid w:val="00AF4920"/>
    <w:rsid w:val="00AF4FCF"/>
    <w:rsid w:val="00AF5328"/>
    <w:rsid w:val="00B016FF"/>
    <w:rsid w:val="00B03080"/>
    <w:rsid w:val="00B036DA"/>
    <w:rsid w:val="00B05301"/>
    <w:rsid w:val="00B0537D"/>
    <w:rsid w:val="00B11D94"/>
    <w:rsid w:val="00B11EAF"/>
    <w:rsid w:val="00B122F4"/>
    <w:rsid w:val="00B137F7"/>
    <w:rsid w:val="00B15310"/>
    <w:rsid w:val="00B16885"/>
    <w:rsid w:val="00B20309"/>
    <w:rsid w:val="00B21306"/>
    <w:rsid w:val="00B2143F"/>
    <w:rsid w:val="00B21DD8"/>
    <w:rsid w:val="00B246C7"/>
    <w:rsid w:val="00B267F4"/>
    <w:rsid w:val="00B3206F"/>
    <w:rsid w:val="00B339AD"/>
    <w:rsid w:val="00B34E0C"/>
    <w:rsid w:val="00B354AB"/>
    <w:rsid w:val="00B42E43"/>
    <w:rsid w:val="00B47A01"/>
    <w:rsid w:val="00B5682E"/>
    <w:rsid w:val="00B60C9D"/>
    <w:rsid w:val="00B61B99"/>
    <w:rsid w:val="00B63E7A"/>
    <w:rsid w:val="00B652B5"/>
    <w:rsid w:val="00B6754D"/>
    <w:rsid w:val="00B72AC0"/>
    <w:rsid w:val="00B7547E"/>
    <w:rsid w:val="00B76075"/>
    <w:rsid w:val="00B81AD2"/>
    <w:rsid w:val="00B82D45"/>
    <w:rsid w:val="00B83ED7"/>
    <w:rsid w:val="00B91ACD"/>
    <w:rsid w:val="00B93345"/>
    <w:rsid w:val="00B95409"/>
    <w:rsid w:val="00B95DC2"/>
    <w:rsid w:val="00B9731F"/>
    <w:rsid w:val="00BA03D8"/>
    <w:rsid w:val="00BA515D"/>
    <w:rsid w:val="00BB4C00"/>
    <w:rsid w:val="00BC184E"/>
    <w:rsid w:val="00BC5A1B"/>
    <w:rsid w:val="00BD07DD"/>
    <w:rsid w:val="00BD3686"/>
    <w:rsid w:val="00BD3C1B"/>
    <w:rsid w:val="00BD45FE"/>
    <w:rsid w:val="00BD5BD4"/>
    <w:rsid w:val="00BD6D4E"/>
    <w:rsid w:val="00BD79C1"/>
    <w:rsid w:val="00BE37AC"/>
    <w:rsid w:val="00BE4F5F"/>
    <w:rsid w:val="00BE5FEE"/>
    <w:rsid w:val="00BE7537"/>
    <w:rsid w:val="00BE7967"/>
    <w:rsid w:val="00BF0FCE"/>
    <w:rsid w:val="00BF396A"/>
    <w:rsid w:val="00BF6C21"/>
    <w:rsid w:val="00BF76B4"/>
    <w:rsid w:val="00C00A36"/>
    <w:rsid w:val="00C01E0A"/>
    <w:rsid w:val="00C03013"/>
    <w:rsid w:val="00C04385"/>
    <w:rsid w:val="00C045EF"/>
    <w:rsid w:val="00C1564D"/>
    <w:rsid w:val="00C15A6C"/>
    <w:rsid w:val="00C16B77"/>
    <w:rsid w:val="00C16CD9"/>
    <w:rsid w:val="00C20B6E"/>
    <w:rsid w:val="00C2384F"/>
    <w:rsid w:val="00C266EF"/>
    <w:rsid w:val="00C3166D"/>
    <w:rsid w:val="00C33081"/>
    <w:rsid w:val="00C36E1E"/>
    <w:rsid w:val="00C36F4B"/>
    <w:rsid w:val="00C37271"/>
    <w:rsid w:val="00C4145D"/>
    <w:rsid w:val="00C46A4F"/>
    <w:rsid w:val="00C55EAF"/>
    <w:rsid w:val="00C56A02"/>
    <w:rsid w:val="00C63F92"/>
    <w:rsid w:val="00C6449A"/>
    <w:rsid w:val="00C70A3D"/>
    <w:rsid w:val="00C72F20"/>
    <w:rsid w:val="00C74DDE"/>
    <w:rsid w:val="00C76031"/>
    <w:rsid w:val="00C76A90"/>
    <w:rsid w:val="00C7766F"/>
    <w:rsid w:val="00C811F0"/>
    <w:rsid w:val="00C829C9"/>
    <w:rsid w:val="00C905FE"/>
    <w:rsid w:val="00CA1B72"/>
    <w:rsid w:val="00CA4880"/>
    <w:rsid w:val="00CA5CF2"/>
    <w:rsid w:val="00CB1CA2"/>
    <w:rsid w:val="00CB4F8C"/>
    <w:rsid w:val="00CB5BFD"/>
    <w:rsid w:val="00CC0E37"/>
    <w:rsid w:val="00CC23EA"/>
    <w:rsid w:val="00CC47CD"/>
    <w:rsid w:val="00CC547E"/>
    <w:rsid w:val="00CC58C1"/>
    <w:rsid w:val="00CC5EA2"/>
    <w:rsid w:val="00CD2423"/>
    <w:rsid w:val="00CD3E5C"/>
    <w:rsid w:val="00CD4EA9"/>
    <w:rsid w:val="00CD63B0"/>
    <w:rsid w:val="00CE1F03"/>
    <w:rsid w:val="00CE3E7C"/>
    <w:rsid w:val="00CE4283"/>
    <w:rsid w:val="00CE4539"/>
    <w:rsid w:val="00CE4980"/>
    <w:rsid w:val="00CF05BE"/>
    <w:rsid w:val="00D02987"/>
    <w:rsid w:val="00D03508"/>
    <w:rsid w:val="00D04261"/>
    <w:rsid w:val="00D069A8"/>
    <w:rsid w:val="00D12491"/>
    <w:rsid w:val="00D135CE"/>
    <w:rsid w:val="00D15ED3"/>
    <w:rsid w:val="00D16D8B"/>
    <w:rsid w:val="00D2237F"/>
    <w:rsid w:val="00D2299A"/>
    <w:rsid w:val="00D25B25"/>
    <w:rsid w:val="00D26BCA"/>
    <w:rsid w:val="00D33B96"/>
    <w:rsid w:val="00D364F0"/>
    <w:rsid w:val="00D365B7"/>
    <w:rsid w:val="00D36649"/>
    <w:rsid w:val="00D40181"/>
    <w:rsid w:val="00D40241"/>
    <w:rsid w:val="00D417C9"/>
    <w:rsid w:val="00D41886"/>
    <w:rsid w:val="00D44F5F"/>
    <w:rsid w:val="00D520C7"/>
    <w:rsid w:val="00D52722"/>
    <w:rsid w:val="00D563A0"/>
    <w:rsid w:val="00D57996"/>
    <w:rsid w:val="00D57C64"/>
    <w:rsid w:val="00D608BE"/>
    <w:rsid w:val="00D6168A"/>
    <w:rsid w:val="00D70D75"/>
    <w:rsid w:val="00D72383"/>
    <w:rsid w:val="00D729E4"/>
    <w:rsid w:val="00D7340C"/>
    <w:rsid w:val="00D745CF"/>
    <w:rsid w:val="00D757A8"/>
    <w:rsid w:val="00D760E7"/>
    <w:rsid w:val="00D825B0"/>
    <w:rsid w:val="00D91335"/>
    <w:rsid w:val="00D91608"/>
    <w:rsid w:val="00D9267C"/>
    <w:rsid w:val="00D93E30"/>
    <w:rsid w:val="00D95FBC"/>
    <w:rsid w:val="00D96A39"/>
    <w:rsid w:val="00D97EF9"/>
    <w:rsid w:val="00DA221C"/>
    <w:rsid w:val="00DA4ED1"/>
    <w:rsid w:val="00DA65DC"/>
    <w:rsid w:val="00DA7FEF"/>
    <w:rsid w:val="00DB28EE"/>
    <w:rsid w:val="00DC1024"/>
    <w:rsid w:val="00DC3684"/>
    <w:rsid w:val="00DC373A"/>
    <w:rsid w:val="00DC3A8A"/>
    <w:rsid w:val="00DC6690"/>
    <w:rsid w:val="00DD09B0"/>
    <w:rsid w:val="00DD5179"/>
    <w:rsid w:val="00DD5704"/>
    <w:rsid w:val="00DE20CE"/>
    <w:rsid w:val="00DE43B9"/>
    <w:rsid w:val="00DE6ED8"/>
    <w:rsid w:val="00DE7605"/>
    <w:rsid w:val="00DF1491"/>
    <w:rsid w:val="00DF1C23"/>
    <w:rsid w:val="00DF305E"/>
    <w:rsid w:val="00DF3C7C"/>
    <w:rsid w:val="00DF4CF6"/>
    <w:rsid w:val="00DF64B6"/>
    <w:rsid w:val="00E01BD1"/>
    <w:rsid w:val="00E027BF"/>
    <w:rsid w:val="00E02983"/>
    <w:rsid w:val="00E03EFB"/>
    <w:rsid w:val="00E03FCF"/>
    <w:rsid w:val="00E06FF7"/>
    <w:rsid w:val="00E136EE"/>
    <w:rsid w:val="00E237C1"/>
    <w:rsid w:val="00E24FA2"/>
    <w:rsid w:val="00E266CA"/>
    <w:rsid w:val="00E26AD8"/>
    <w:rsid w:val="00E2712F"/>
    <w:rsid w:val="00E32994"/>
    <w:rsid w:val="00E378EE"/>
    <w:rsid w:val="00E37A9F"/>
    <w:rsid w:val="00E37F08"/>
    <w:rsid w:val="00E40891"/>
    <w:rsid w:val="00E41A2B"/>
    <w:rsid w:val="00E44520"/>
    <w:rsid w:val="00E455CD"/>
    <w:rsid w:val="00E45B36"/>
    <w:rsid w:val="00E50F81"/>
    <w:rsid w:val="00E51F4A"/>
    <w:rsid w:val="00E523B5"/>
    <w:rsid w:val="00E551BF"/>
    <w:rsid w:val="00E5529D"/>
    <w:rsid w:val="00E555A3"/>
    <w:rsid w:val="00E600A3"/>
    <w:rsid w:val="00E614E6"/>
    <w:rsid w:val="00E6377E"/>
    <w:rsid w:val="00E66278"/>
    <w:rsid w:val="00E6649B"/>
    <w:rsid w:val="00E71FE6"/>
    <w:rsid w:val="00E800D3"/>
    <w:rsid w:val="00E81FCF"/>
    <w:rsid w:val="00E825F0"/>
    <w:rsid w:val="00E82F1A"/>
    <w:rsid w:val="00E83A9D"/>
    <w:rsid w:val="00E875E8"/>
    <w:rsid w:val="00E91174"/>
    <w:rsid w:val="00E965E9"/>
    <w:rsid w:val="00E96E3D"/>
    <w:rsid w:val="00EA2EB5"/>
    <w:rsid w:val="00EA4FF8"/>
    <w:rsid w:val="00EB0FA9"/>
    <w:rsid w:val="00EB1B84"/>
    <w:rsid w:val="00EB3B89"/>
    <w:rsid w:val="00EB63C5"/>
    <w:rsid w:val="00EC59F3"/>
    <w:rsid w:val="00EC69C9"/>
    <w:rsid w:val="00ED0B67"/>
    <w:rsid w:val="00ED1F95"/>
    <w:rsid w:val="00EE01E7"/>
    <w:rsid w:val="00EE57D3"/>
    <w:rsid w:val="00EE5DC1"/>
    <w:rsid w:val="00EE6929"/>
    <w:rsid w:val="00EE6D98"/>
    <w:rsid w:val="00EE7B6F"/>
    <w:rsid w:val="00EF0731"/>
    <w:rsid w:val="00EF2CB9"/>
    <w:rsid w:val="00EF49BA"/>
    <w:rsid w:val="00EF7C36"/>
    <w:rsid w:val="00F006A5"/>
    <w:rsid w:val="00F067E8"/>
    <w:rsid w:val="00F07198"/>
    <w:rsid w:val="00F13A45"/>
    <w:rsid w:val="00F2480D"/>
    <w:rsid w:val="00F26D4D"/>
    <w:rsid w:val="00F316B2"/>
    <w:rsid w:val="00F3241F"/>
    <w:rsid w:val="00F335FA"/>
    <w:rsid w:val="00F410AF"/>
    <w:rsid w:val="00F41188"/>
    <w:rsid w:val="00F422E4"/>
    <w:rsid w:val="00F42695"/>
    <w:rsid w:val="00F44831"/>
    <w:rsid w:val="00F4614A"/>
    <w:rsid w:val="00F476CC"/>
    <w:rsid w:val="00F57166"/>
    <w:rsid w:val="00F57509"/>
    <w:rsid w:val="00F63901"/>
    <w:rsid w:val="00F70F0B"/>
    <w:rsid w:val="00F71622"/>
    <w:rsid w:val="00F80BE1"/>
    <w:rsid w:val="00F8140E"/>
    <w:rsid w:val="00F82306"/>
    <w:rsid w:val="00F82763"/>
    <w:rsid w:val="00F83607"/>
    <w:rsid w:val="00F8409F"/>
    <w:rsid w:val="00F86D6F"/>
    <w:rsid w:val="00F942CB"/>
    <w:rsid w:val="00FA0C2C"/>
    <w:rsid w:val="00FA3DD6"/>
    <w:rsid w:val="00FA4067"/>
    <w:rsid w:val="00FA4886"/>
    <w:rsid w:val="00FA4E49"/>
    <w:rsid w:val="00FA4E8D"/>
    <w:rsid w:val="00FA5415"/>
    <w:rsid w:val="00FA6BCF"/>
    <w:rsid w:val="00FA6E3A"/>
    <w:rsid w:val="00FB277D"/>
    <w:rsid w:val="00FB6029"/>
    <w:rsid w:val="00FB7A52"/>
    <w:rsid w:val="00FC0745"/>
    <w:rsid w:val="00FC15B3"/>
    <w:rsid w:val="00FC609F"/>
    <w:rsid w:val="00FD0EE8"/>
    <w:rsid w:val="00FD6BFA"/>
    <w:rsid w:val="00FE387E"/>
    <w:rsid w:val="00FE3C78"/>
    <w:rsid w:val="00FE4B98"/>
    <w:rsid w:val="00FE6720"/>
    <w:rsid w:val="00FE6B68"/>
    <w:rsid w:val="00FE6E5A"/>
    <w:rsid w:val="00FF34D5"/>
    <w:rsid w:val="00FF52FA"/>
    <w:rsid w:val="00FF66D7"/>
    <w:rsid w:val="00FF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D2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B3B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15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B8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A156B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D72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E3C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3C78"/>
  </w:style>
  <w:style w:type="paragraph" w:styleId="Header">
    <w:name w:val="header"/>
    <w:basedOn w:val="Normal"/>
    <w:link w:val="HeaderChar"/>
    <w:rsid w:val="00364B0D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rsid w:val="00364B0D"/>
    <w:rPr>
      <w:sz w:val="24"/>
      <w:szCs w:val="24"/>
    </w:rPr>
  </w:style>
  <w:style w:type="character" w:styleId="Hyperlink">
    <w:name w:val="Hyperlink"/>
    <w:uiPriority w:val="99"/>
    <w:unhideWhenUsed/>
    <w:rsid w:val="0077545F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7545F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0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04940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166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C3166D"/>
  </w:style>
  <w:style w:type="paragraph" w:styleId="TOC2">
    <w:name w:val="toc 2"/>
    <w:basedOn w:val="Normal"/>
    <w:next w:val="Normal"/>
    <w:autoRedefine/>
    <w:uiPriority w:val="39"/>
    <w:rsid w:val="00C3166D"/>
    <w:pPr>
      <w:ind w:left="240"/>
    </w:pPr>
  </w:style>
  <w:style w:type="paragraph" w:customStyle="1" w:styleId="xl65">
    <w:name w:val="xl65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66">
    <w:name w:val="xl66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67">
    <w:name w:val="xl67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68">
    <w:name w:val="xl68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69">
    <w:name w:val="xl69"/>
    <w:basedOn w:val="Normal"/>
    <w:rsid w:val="00057AF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70">
    <w:name w:val="xl70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71">
    <w:name w:val="xl71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sr-Latn-BA" w:eastAsia="sr-Latn-BA"/>
    </w:rPr>
  </w:style>
  <w:style w:type="paragraph" w:customStyle="1" w:styleId="xl72">
    <w:name w:val="xl72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73">
    <w:name w:val="xl73"/>
    <w:basedOn w:val="Normal"/>
    <w:rsid w:val="00057AF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74">
    <w:name w:val="xl74"/>
    <w:basedOn w:val="Normal"/>
    <w:rsid w:val="00057AFF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75">
    <w:name w:val="xl75"/>
    <w:basedOn w:val="Normal"/>
    <w:rsid w:val="00057AFF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sr-Latn-BA" w:eastAsia="sr-Latn-BA"/>
    </w:rPr>
  </w:style>
  <w:style w:type="paragraph" w:customStyle="1" w:styleId="xl77">
    <w:name w:val="xl77"/>
    <w:basedOn w:val="Normal"/>
    <w:rsid w:val="00057AF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78">
    <w:name w:val="xl78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79">
    <w:name w:val="xl79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0">
    <w:name w:val="xl80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81">
    <w:name w:val="xl81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2">
    <w:name w:val="xl82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3">
    <w:name w:val="xl83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sr-Latn-BA" w:eastAsia="sr-Latn-BA"/>
    </w:rPr>
  </w:style>
  <w:style w:type="paragraph" w:customStyle="1" w:styleId="xl84">
    <w:name w:val="xl84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5">
    <w:name w:val="xl85"/>
    <w:basedOn w:val="Normal"/>
    <w:rsid w:val="00057AF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86">
    <w:name w:val="xl86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7">
    <w:name w:val="xl87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8">
    <w:name w:val="xl88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89">
    <w:name w:val="xl89"/>
    <w:basedOn w:val="Normal"/>
    <w:rsid w:val="00057A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90">
    <w:name w:val="xl90"/>
    <w:basedOn w:val="Normal"/>
    <w:rsid w:val="00057AFF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92">
    <w:name w:val="xl92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93">
    <w:name w:val="xl93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94">
    <w:name w:val="xl94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5">
    <w:name w:val="xl95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96">
    <w:name w:val="xl96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7">
    <w:name w:val="xl97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8">
    <w:name w:val="xl98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9">
    <w:name w:val="xl99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0">
    <w:name w:val="xl100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1">
    <w:name w:val="xl101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2">
    <w:name w:val="xl102"/>
    <w:basedOn w:val="Normal"/>
    <w:rsid w:val="00057AFF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3">
    <w:name w:val="xl103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4">
    <w:name w:val="xl104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5">
    <w:name w:val="xl105"/>
    <w:basedOn w:val="Normal"/>
    <w:rsid w:val="00057AF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6">
    <w:name w:val="xl106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7">
    <w:name w:val="xl107"/>
    <w:basedOn w:val="Normal"/>
    <w:rsid w:val="00057AFF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08">
    <w:name w:val="xl108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9">
    <w:name w:val="xl109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0">
    <w:name w:val="xl110"/>
    <w:basedOn w:val="Normal"/>
    <w:rsid w:val="00057AFF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1">
    <w:name w:val="xl111"/>
    <w:basedOn w:val="Normal"/>
    <w:rsid w:val="00057AFF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sr-Latn-BA" w:eastAsia="sr-Latn-BA"/>
    </w:rPr>
  </w:style>
  <w:style w:type="paragraph" w:customStyle="1" w:styleId="xl112">
    <w:name w:val="xl112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3">
    <w:name w:val="xl113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sr-Latn-BA" w:eastAsia="sr-Latn-BA"/>
    </w:rPr>
  </w:style>
  <w:style w:type="paragraph" w:customStyle="1" w:styleId="xl114">
    <w:name w:val="xl114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5">
    <w:name w:val="xl115"/>
    <w:basedOn w:val="Normal"/>
    <w:rsid w:val="00057AFF"/>
    <w:pP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6">
    <w:name w:val="xl116"/>
    <w:basedOn w:val="Normal"/>
    <w:rsid w:val="00057A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7">
    <w:name w:val="xl117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8">
    <w:name w:val="xl118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9">
    <w:name w:val="xl119"/>
    <w:basedOn w:val="Normal"/>
    <w:rsid w:val="00057AFF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0">
    <w:name w:val="xl120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1">
    <w:name w:val="xl121"/>
    <w:basedOn w:val="Normal"/>
    <w:rsid w:val="00057AFF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2">
    <w:name w:val="xl122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3">
    <w:name w:val="xl123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4">
    <w:name w:val="xl124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5">
    <w:name w:val="xl125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6">
    <w:name w:val="xl126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7">
    <w:name w:val="xl127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sr-Latn-BA" w:eastAsia="sr-Latn-BA"/>
    </w:rPr>
  </w:style>
  <w:style w:type="paragraph" w:customStyle="1" w:styleId="xl128">
    <w:name w:val="xl128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sr-Latn-BA" w:eastAsia="sr-Latn-BA"/>
    </w:rPr>
  </w:style>
  <w:style w:type="paragraph" w:styleId="NoSpacing">
    <w:name w:val="No Spacing"/>
    <w:uiPriority w:val="1"/>
    <w:qFormat/>
    <w:rsid w:val="00057AFF"/>
    <w:rPr>
      <w:sz w:val="24"/>
      <w:szCs w:val="24"/>
      <w:lang w:val="en-US" w:eastAsia="en-US"/>
    </w:rPr>
  </w:style>
  <w:style w:type="table" w:styleId="TableSimple2">
    <w:name w:val="Table Simple 2"/>
    <w:basedOn w:val="TableNormal"/>
    <w:rsid w:val="008165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76">
    <w:name w:val="xl76"/>
    <w:basedOn w:val="Normal"/>
    <w:rsid w:val="004F36F3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91">
    <w:name w:val="xl91"/>
    <w:basedOn w:val="Normal"/>
    <w:rsid w:val="004F36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lang w:val="sr-Latn-BA" w:eastAsia="sr-Latn-BA"/>
    </w:rPr>
  </w:style>
  <w:style w:type="paragraph" w:styleId="ListParagraph">
    <w:name w:val="List Paragraph"/>
    <w:basedOn w:val="Normal"/>
    <w:uiPriority w:val="34"/>
    <w:qFormat/>
    <w:rsid w:val="003B0B35"/>
    <w:pPr>
      <w:ind w:left="720"/>
      <w:contextualSpacing/>
    </w:pPr>
    <w:rPr>
      <w:szCs w:val="20"/>
      <w:u w:val="single"/>
      <w:lang w:val="sr-Cyrl-CS"/>
    </w:rPr>
  </w:style>
  <w:style w:type="character" w:customStyle="1" w:styleId="FooterChar">
    <w:name w:val="Footer Char"/>
    <w:link w:val="Footer"/>
    <w:uiPriority w:val="99"/>
    <w:rsid w:val="003B0B35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05E34"/>
    <w:rPr>
      <w:color w:val="808080"/>
    </w:rPr>
  </w:style>
  <w:style w:type="paragraph" w:styleId="FootnoteText">
    <w:name w:val="footnote text"/>
    <w:basedOn w:val="Normal"/>
    <w:link w:val="FootnoteTextChar"/>
    <w:rsid w:val="00263D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63DD1"/>
    <w:rPr>
      <w:lang w:val="en-US" w:eastAsia="en-US"/>
    </w:rPr>
  </w:style>
  <w:style w:type="character" w:styleId="FootnoteReference">
    <w:name w:val="footnote reference"/>
    <w:basedOn w:val="DefaultParagraphFont"/>
    <w:rsid w:val="00263DD1"/>
    <w:rPr>
      <w:vertAlign w:val="superscript"/>
    </w:rPr>
  </w:style>
  <w:style w:type="paragraph" w:styleId="EndnoteText">
    <w:name w:val="endnote text"/>
    <w:basedOn w:val="Normal"/>
    <w:link w:val="EndnoteTextChar"/>
    <w:rsid w:val="00AE210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E2104"/>
    <w:rPr>
      <w:lang w:val="en-US" w:eastAsia="en-US"/>
    </w:rPr>
  </w:style>
  <w:style w:type="character" w:styleId="EndnoteReference">
    <w:name w:val="endnote reference"/>
    <w:basedOn w:val="DefaultParagraphFont"/>
    <w:rsid w:val="00AE2104"/>
    <w:rPr>
      <w:vertAlign w:val="superscript"/>
    </w:rPr>
  </w:style>
  <w:style w:type="paragraph" w:customStyle="1" w:styleId="Podnaslov2">
    <w:name w:val="Podnaslov 2"/>
    <w:basedOn w:val="Heading2"/>
    <w:link w:val="Podnaslov2Char"/>
    <w:qFormat/>
    <w:rsid w:val="00B0537D"/>
    <w:pPr>
      <w:keepLines/>
      <w:spacing w:before="0" w:after="240"/>
    </w:pPr>
    <w:rPr>
      <w:rFonts w:ascii="Times New Roman" w:eastAsiaTheme="majorEastAsia" w:hAnsi="Times New Roman" w:cstheme="majorBidi"/>
      <w:i w:val="0"/>
      <w:iCs w:val="0"/>
      <w:sz w:val="26"/>
      <w:szCs w:val="26"/>
    </w:rPr>
  </w:style>
  <w:style w:type="character" w:customStyle="1" w:styleId="Podnaslov2Char">
    <w:name w:val="Podnaslov 2 Char"/>
    <w:basedOn w:val="DefaultParagraphFont"/>
    <w:link w:val="Podnaslov2"/>
    <w:rsid w:val="00B0537D"/>
    <w:rPr>
      <w:rFonts w:eastAsiaTheme="majorEastAsia" w:cstheme="majorBidi"/>
      <w:b/>
      <w:bCs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B3B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A15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B8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A156B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D729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E3C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3C78"/>
  </w:style>
  <w:style w:type="paragraph" w:styleId="Header">
    <w:name w:val="header"/>
    <w:basedOn w:val="Normal"/>
    <w:link w:val="HeaderChar"/>
    <w:rsid w:val="00364B0D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rsid w:val="00364B0D"/>
    <w:rPr>
      <w:sz w:val="24"/>
      <w:szCs w:val="24"/>
    </w:rPr>
  </w:style>
  <w:style w:type="character" w:styleId="Hyperlink">
    <w:name w:val="Hyperlink"/>
    <w:uiPriority w:val="99"/>
    <w:unhideWhenUsed/>
    <w:rsid w:val="0077545F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7545F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0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04940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166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C3166D"/>
  </w:style>
  <w:style w:type="paragraph" w:styleId="TOC2">
    <w:name w:val="toc 2"/>
    <w:basedOn w:val="Normal"/>
    <w:next w:val="Normal"/>
    <w:autoRedefine/>
    <w:uiPriority w:val="39"/>
    <w:rsid w:val="00C3166D"/>
    <w:pPr>
      <w:ind w:left="240"/>
    </w:pPr>
  </w:style>
  <w:style w:type="paragraph" w:customStyle="1" w:styleId="xl65">
    <w:name w:val="xl65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66">
    <w:name w:val="xl66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67">
    <w:name w:val="xl67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68">
    <w:name w:val="xl68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69">
    <w:name w:val="xl69"/>
    <w:basedOn w:val="Normal"/>
    <w:rsid w:val="00057AF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70">
    <w:name w:val="xl70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71">
    <w:name w:val="xl71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sr-Latn-BA" w:eastAsia="sr-Latn-BA"/>
    </w:rPr>
  </w:style>
  <w:style w:type="paragraph" w:customStyle="1" w:styleId="xl72">
    <w:name w:val="xl72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73">
    <w:name w:val="xl73"/>
    <w:basedOn w:val="Normal"/>
    <w:rsid w:val="00057AF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74">
    <w:name w:val="xl74"/>
    <w:basedOn w:val="Normal"/>
    <w:rsid w:val="00057AFF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75">
    <w:name w:val="xl75"/>
    <w:basedOn w:val="Normal"/>
    <w:rsid w:val="00057AFF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sr-Latn-BA" w:eastAsia="sr-Latn-BA"/>
    </w:rPr>
  </w:style>
  <w:style w:type="paragraph" w:customStyle="1" w:styleId="xl77">
    <w:name w:val="xl77"/>
    <w:basedOn w:val="Normal"/>
    <w:rsid w:val="00057AF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78">
    <w:name w:val="xl78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79">
    <w:name w:val="xl79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0">
    <w:name w:val="xl80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81">
    <w:name w:val="xl81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2">
    <w:name w:val="xl82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3">
    <w:name w:val="xl83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sr-Latn-BA" w:eastAsia="sr-Latn-BA"/>
    </w:rPr>
  </w:style>
  <w:style w:type="paragraph" w:customStyle="1" w:styleId="xl84">
    <w:name w:val="xl84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85">
    <w:name w:val="xl85"/>
    <w:basedOn w:val="Normal"/>
    <w:rsid w:val="00057AF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86">
    <w:name w:val="xl86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7">
    <w:name w:val="xl87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sr-Latn-BA" w:eastAsia="sr-Latn-BA"/>
    </w:rPr>
  </w:style>
  <w:style w:type="paragraph" w:customStyle="1" w:styleId="xl88">
    <w:name w:val="xl88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sr-Latn-BA" w:eastAsia="sr-Latn-BA"/>
    </w:rPr>
  </w:style>
  <w:style w:type="paragraph" w:customStyle="1" w:styleId="xl89">
    <w:name w:val="xl89"/>
    <w:basedOn w:val="Normal"/>
    <w:rsid w:val="00057A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sr-Latn-BA" w:eastAsia="sr-Latn-BA"/>
    </w:rPr>
  </w:style>
  <w:style w:type="paragraph" w:customStyle="1" w:styleId="xl90">
    <w:name w:val="xl90"/>
    <w:basedOn w:val="Normal"/>
    <w:rsid w:val="00057AFF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92">
    <w:name w:val="xl92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93">
    <w:name w:val="xl93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94">
    <w:name w:val="xl94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5">
    <w:name w:val="xl95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96">
    <w:name w:val="xl96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7">
    <w:name w:val="xl97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8">
    <w:name w:val="xl98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sr-Latn-BA" w:eastAsia="sr-Latn-BA"/>
    </w:rPr>
  </w:style>
  <w:style w:type="paragraph" w:customStyle="1" w:styleId="xl99">
    <w:name w:val="xl99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0">
    <w:name w:val="xl100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1">
    <w:name w:val="xl101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2">
    <w:name w:val="xl102"/>
    <w:basedOn w:val="Normal"/>
    <w:rsid w:val="00057AFF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3">
    <w:name w:val="xl103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4">
    <w:name w:val="xl104"/>
    <w:basedOn w:val="Normal"/>
    <w:rsid w:val="00057A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5">
    <w:name w:val="xl105"/>
    <w:basedOn w:val="Normal"/>
    <w:rsid w:val="00057AF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6">
    <w:name w:val="xl106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sr-Latn-BA" w:eastAsia="sr-Latn-BA"/>
    </w:rPr>
  </w:style>
  <w:style w:type="paragraph" w:customStyle="1" w:styleId="xl107">
    <w:name w:val="xl107"/>
    <w:basedOn w:val="Normal"/>
    <w:rsid w:val="00057AFF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08">
    <w:name w:val="xl108"/>
    <w:basedOn w:val="Normal"/>
    <w:rsid w:val="00057AFF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09">
    <w:name w:val="xl109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0">
    <w:name w:val="xl110"/>
    <w:basedOn w:val="Normal"/>
    <w:rsid w:val="00057AFF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1">
    <w:name w:val="xl111"/>
    <w:basedOn w:val="Normal"/>
    <w:rsid w:val="00057AFF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sr-Latn-BA" w:eastAsia="sr-Latn-BA"/>
    </w:rPr>
  </w:style>
  <w:style w:type="paragraph" w:customStyle="1" w:styleId="xl112">
    <w:name w:val="xl112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3">
    <w:name w:val="xl113"/>
    <w:basedOn w:val="Normal"/>
    <w:rsid w:val="00057A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sr-Latn-BA" w:eastAsia="sr-Latn-BA"/>
    </w:rPr>
  </w:style>
  <w:style w:type="paragraph" w:customStyle="1" w:styleId="xl114">
    <w:name w:val="xl114"/>
    <w:basedOn w:val="Normal"/>
    <w:rsid w:val="00057AFF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5">
    <w:name w:val="xl115"/>
    <w:basedOn w:val="Normal"/>
    <w:rsid w:val="00057AFF"/>
    <w:pP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6">
    <w:name w:val="xl116"/>
    <w:basedOn w:val="Normal"/>
    <w:rsid w:val="00057A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7">
    <w:name w:val="xl117"/>
    <w:basedOn w:val="Normal"/>
    <w:rsid w:val="00057AF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8">
    <w:name w:val="xl118"/>
    <w:basedOn w:val="Normal"/>
    <w:rsid w:val="00057AFF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19">
    <w:name w:val="xl119"/>
    <w:basedOn w:val="Normal"/>
    <w:rsid w:val="00057AFF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0">
    <w:name w:val="xl120"/>
    <w:basedOn w:val="Normal"/>
    <w:rsid w:val="00057AF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1">
    <w:name w:val="xl121"/>
    <w:basedOn w:val="Normal"/>
    <w:rsid w:val="00057AFF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2">
    <w:name w:val="xl122"/>
    <w:basedOn w:val="Normal"/>
    <w:rsid w:val="00057A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sr-Latn-BA" w:eastAsia="sr-Latn-BA"/>
    </w:rPr>
  </w:style>
  <w:style w:type="paragraph" w:customStyle="1" w:styleId="xl123">
    <w:name w:val="xl123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4">
    <w:name w:val="xl124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5">
    <w:name w:val="xl125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6">
    <w:name w:val="xl126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127">
    <w:name w:val="xl127"/>
    <w:basedOn w:val="Normal"/>
    <w:rsid w:val="00057AFF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sr-Latn-BA" w:eastAsia="sr-Latn-BA"/>
    </w:rPr>
  </w:style>
  <w:style w:type="paragraph" w:customStyle="1" w:styleId="xl128">
    <w:name w:val="xl128"/>
    <w:basedOn w:val="Normal"/>
    <w:rsid w:val="00057AF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sr-Latn-BA" w:eastAsia="sr-Latn-BA"/>
    </w:rPr>
  </w:style>
  <w:style w:type="paragraph" w:styleId="NoSpacing">
    <w:name w:val="No Spacing"/>
    <w:uiPriority w:val="1"/>
    <w:qFormat/>
    <w:rsid w:val="00057AFF"/>
    <w:rPr>
      <w:sz w:val="24"/>
      <w:szCs w:val="24"/>
      <w:lang w:val="en-US" w:eastAsia="en-US"/>
    </w:rPr>
  </w:style>
  <w:style w:type="table" w:styleId="TableSimple2">
    <w:name w:val="Table Simple 2"/>
    <w:basedOn w:val="TableNormal"/>
    <w:rsid w:val="008165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76">
    <w:name w:val="xl76"/>
    <w:basedOn w:val="Normal"/>
    <w:rsid w:val="004F36F3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lang w:val="sr-Latn-BA" w:eastAsia="sr-Latn-BA"/>
    </w:rPr>
  </w:style>
  <w:style w:type="paragraph" w:customStyle="1" w:styleId="xl91">
    <w:name w:val="xl91"/>
    <w:basedOn w:val="Normal"/>
    <w:rsid w:val="004F36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lang w:val="sr-Latn-BA" w:eastAsia="sr-Latn-BA"/>
    </w:rPr>
  </w:style>
  <w:style w:type="paragraph" w:styleId="ListParagraph">
    <w:name w:val="List Paragraph"/>
    <w:basedOn w:val="Normal"/>
    <w:uiPriority w:val="34"/>
    <w:qFormat/>
    <w:rsid w:val="003B0B35"/>
    <w:pPr>
      <w:ind w:left="720"/>
      <w:contextualSpacing/>
    </w:pPr>
    <w:rPr>
      <w:szCs w:val="20"/>
      <w:u w:val="single"/>
      <w:lang w:val="sr-Cyrl-CS"/>
    </w:rPr>
  </w:style>
  <w:style w:type="character" w:customStyle="1" w:styleId="FooterChar">
    <w:name w:val="Footer Char"/>
    <w:link w:val="Footer"/>
    <w:uiPriority w:val="99"/>
    <w:rsid w:val="003B0B35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05E34"/>
    <w:rPr>
      <w:color w:val="808080"/>
    </w:rPr>
  </w:style>
  <w:style w:type="paragraph" w:styleId="FootnoteText">
    <w:name w:val="footnote text"/>
    <w:basedOn w:val="Normal"/>
    <w:link w:val="FootnoteTextChar"/>
    <w:rsid w:val="00263D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63DD1"/>
    <w:rPr>
      <w:lang w:val="en-US" w:eastAsia="en-US"/>
    </w:rPr>
  </w:style>
  <w:style w:type="character" w:styleId="FootnoteReference">
    <w:name w:val="footnote reference"/>
    <w:basedOn w:val="DefaultParagraphFont"/>
    <w:rsid w:val="00263DD1"/>
    <w:rPr>
      <w:vertAlign w:val="superscript"/>
    </w:rPr>
  </w:style>
  <w:style w:type="paragraph" w:styleId="EndnoteText">
    <w:name w:val="endnote text"/>
    <w:basedOn w:val="Normal"/>
    <w:link w:val="EndnoteTextChar"/>
    <w:rsid w:val="00AE210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E2104"/>
    <w:rPr>
      <w:lang w:val="en-US" w:eastAsia="en-US"/>
    </w:rPr>
  </w:style>
  <w:style w:type="character" w:styleId="EndnoteReference">
    <w:name w:val="endnote reference"/>
    <w:basedOn w:val="DefaultParagraphFont"/>
    <w:rsid w:val="00AE2104"/>
    <w:rPr>
      <w:vertAlign w:val="superscript"/>
    </w:rPr>
  </w:style>
  <w:style w:type="paragraph" w:customStyle="1" w:styleId="Podnaslov2">
    <w:name w:val="Podnaslov 2"/>
    <w:basedOn w:val="Heading2"/>
    <w:link w:val="Podnaslov2Char"/>
    <w:qFormat/>
    <w:rsid w:val="00B0537D"/>
    <w:pPr>
      <w:keepLines/>
      <w:spacing w:before="0" w:after="240"/>
    </w:pPr>
    <w:rPr>
      <w:rFonts w:ascii="Times New Roman" w:eastAsiaTheme="majorEastAsia" w:hAnsi="Times New Roman" w:cstheme="majorBidi"/>
      <w:i w:val="0"/>
      <w:iCs w:val="0"/>
      <w:sz w:val="26"/>
      <w:szCs w:val="26"/>
    </w:rPr>
  </w:style>
  <w:style w:type="character" w:customStyle="1" w:styleId="Podnaslov2Char">
    <w:name w:val="Podnaslov 2 Char"/>
    <w:basedOn w:val="DefaultParagraphFont"/>
    <w:link w:val="Podnaslov2"/>
    <w:rsid w:val="00B0537D"/>
    <w:rPr>
      <w:rFonts w:eastAsiaTheme="majorEastAsia" w:cstheme="majorBidi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FB1E-3E0D-49B7-8AFF-83C67571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10556</Words>
  <Characters>60172</Characters>
  <Application>Microsoft Office Word</Application>
  <DocSecurity>0</DocSecurity>
  <Lines>501</Lines>
  <Paragraphs>141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AD „KOMUNALAC“ BIJELJINA</vt:lpstr>
      <vt:lpstr>AD „KOMUNALAC“ BIJELJINA</vt:lpstr>
    </vt:vector>
  </TitlesOfParts>
  <Company>Y</Company>
  <LinksUpToDate>false</LinksUpToDate>
  <CharactersWithSpaces>70587</CharactersWithSpaces>
  <SharedDoc>false</SharedDoc>
  <HLinks>
    <vt:vector size="54" baseType="variant"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_Toc440880703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_Toc440880702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_Toc440880701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_Toc440880700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_Toc440880699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_Toc440880698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_Toc440880697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_Toc440880696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_Toc440880695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„KOMUNALAC“ BIJELJINA</dc:title>
  <dc:creator>Zoran Ćubić</dc:creator>
  <cp:lastModifiedBy>mira.ristic</cp:lastModifiedBy>
  <cp:revision>2</cp:revision>
  <cp:lastPrinted>2025-04-01T06:53:00Z</cp:lastPrinted>
  <dcterms:created xsi:type="dcterms:W3CDTF">2025-06-20T06:26:00Z</dcterms:created>
  <dcterms:modified xsi:type="dcterms:W3CDTF">2025-06-20T06:26:00Z</dcterms:modified>
</cp:coreProperties>
</file>